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74" w:rsidRDefault="00657CC3" w:rsidP="00657CC3">
      <w:pPr>
        <w:spacing w:line="360" w:lineRule="auto"/>
        <w:jc w:val="center"/>
        <w:rPr>
          <w:b/>
          <w:sz w:val="28"/>
          <w:szCs w:val="28"/>
        </w:rPr>
      </w:pPr>
      <w:bookmarkStart w:id="0" w:name="_GoBack"/>
      <w:bookmarkEnd w:id="0"/>
      <w:r>
        <w:rPr>
          <w:b/>
          <w:sz w:val="28"/>
          <w:szCs w:val="28"/>
        </w:rPr>
        <w:t xml:space="preserve">Provincial </w:t>
      </w:r>
      <w:r w:rsidRPr="00FF57C2">
        <w:rPr>
          <w:b/>
          <w:color w:val="0070C0"/>
          <w:sz w:val="28"/>
          <w:szCs w:val="28"/>
        </w:rPr>
        <w:t xml:space="preserve">VisitAble Housing </w:t>
      </w:r>
      <w:r w:rsidRPr="00657CC3">
        <w:rPr>
          <w:b/>
          <w:sz w:val="28"/>
          <w:szCs w:val="28"/>
        </w:rPr>
        <w:t>Resource List</w:t>
      </w:r>
    </w:p>
    <w:p w:rsidR="00657CC3" w:rsidRPr="00657CC3" w:rsidRDefault="00657CC3" w:rsidP="00657CC3">
      <w:pPr>
        <w:jc w:val="center"/>
        <w:rPr>
          <w:b/>
          <w:sz w:val="32"/>
          <w:szCs w:val="32"/>
        </w:rPr>
      </w:pPr>
      <w:r w:rsidRPr="00657CC3">
        <w:rPr>
          <w:b/>
          <w:sz w:val="32"/>
          <w:szCs w:val="32"/>
        </w:rPr>
        <w:t>British Columbia</w:t>
      </w:r>
    </w:p>
    <w:p w:rsidR="00657CC3" w:rsidRDefault="00657CC3"/>
    <w:p w:rsidR="005366B7" w:rsidRDefault="005366B7" w:rsidP="005366B7"/>
    <w:p w:rsidR="005366B7" w:rsidRPr="0056517F" w:rsidRDefault="005366B7" w:rsidP="005366B7">
      <w:pPr>
        <w:rPr>
          <w:b/>
        </w:rPr>
      </w:pPr>
      <w:r w:rsidRPr="0056517F">
        <w:rPr>
          <w:b/>
        </w:rPr>
        <w:t>The Provincial VisitAble Housing Resource List</w:t>
      </w:r>
    </w:p>
    <w:p w:rsidR="005366B7" w:rsidRDefault="005366B7" w:rsidP="005366B7">
      <w:r>
        <w:t xml:space="preserve">The Provincial VisitAble Housing Resource List is intended to assist stakeholders who look for information or resources related to VisitAble Housing in their province. Stakeholders may include housing consumers, housing professionals, and policy makers. </w:t>
      </w:r>
    </w:p>
    <w:p w:rsidR="005366B7" w:rsidRDefault="005366B7" w:rsidP="005366B7">
      <w:pPr>
        <w:rPr>
          <w:b/>
        </w:rPr>
      </w:pPr>
    </w:p>
    <w:p w:rsidR="005366B7" w:rsidRPr="0056517F" w:rsidRDefault="005366B7" w:rsidP="005366B7">
      <w:pPr>
        <w:rPr>
          <w:b/>
        </w:rPr>
      </w:pPr>
      <w:r w:rsidRPr="0056517F">
        <w:rPr>
          <w:b/>
        </w:rPr>
        <w:t xml:space="preserve">Resources on VisitAble Housing </w:t>
      </w:r>
    </w:p>
    <w:p w:rsidR="005366B7" w:rsidRDefault="005366B7" w:rsidP="005366B7">
      <w:r>
        <w:t xml:space="preserve">Resources can be information material, individuals and organizations that have experience or knowledge about VisitAble Housing, programs or businesses that provide relevant services or products, relevant policy documents, and websites and social media that contain related information or resources. </w:t>
      </w:r>
    </w:p>
    <w:p w:rsidR="005366B7" w:rsidRDefault="005366B7" w:rsidP="005366B7"/>
    <w:p w:rsidR="005366B7" w:rsidRPr="0056517F" w:rsidRDefault="005366B7" w:rsidP="005366B7">
      <w:pPr>
        <w:rPr>
          <w:b/>
        </w:rPr>
      </w:pPr>
      <w:r w:rsidRPr="0056517F">
        <w:rPr>
          <w:b/>
        </w:rPr>
        <w:t>Are You Aware of Any Resources on VisitAble Housing?</w:t>
      </w:r>
    </w:p>
    <w:p w:rsidR="005366B7" w:rsidRDefault="005366B7" w:rsidP="005366B7">
      <w:r>
        <w:t xml:space="preserve">If you are aware of any resources in your province, please add the information in suitable tables below and send this document to Youn-Young Park by email at </w:t>
      </w:r>
      <w:hyperlink r:id="rId7" w:history="1">
        <w:r w:rsidRPr="007A0AC3">
          <w:rPr>
            <w:rStyle w:val="Hyperlink"/>
          </w:rPr>
          <w:t>ypark@disabilitystudies.ca</w:t>
        </w:r>
      </w:hyperlink>
      <w:r>
        <w:t xml:space="preserve"> </w:t>
      </w:r>
      <w:r>
        <w:rPr>
          <w:b/>
          <w:i/>
        </w:rPr>
        <w:t xml:space="preserve">by </w:t>
      </w:r>
      <w:r w:rsidRPr="00EB4F60">
        <w:rPr>
          <w:b/>
          <w:i/>
        </w:rPr>
        <w:t>February 28, 2015</w:t>
      </w:r>
      <w:r>
        <w:t xml:space="preserve">. Once we gather lists of provincial resources, we will make them available at </w:t>
      </w:r>
      <w:hyperlink r:id="rId8" w:history="1">
        <w:r w:rsidRPr="007A0AC3">
          <w:rPr>
            <w:rStyle w:val="Hyperlink"/>
          </w:rPr>
          <w:t>http://VisitAbleHousingCanada.com</w:t>
        </w:r>
      </w:hyperlink>
      <w:r>
        <w:t xml:space="preserve">. We would appreciate your assistance. </w:t>
      </w:r>
    </w:p>
    <w:p w:rsidR="005366B7" w:rsidRDefault="005366B7" w:rsidP="005366B7"/>
    <w:p w:rsidR="005366B7" w:rsidRDefault="005366B7"/>
    <w:p w:rsidR="00657CC3" w:rsidRDefault="00657CC3"/>
    <w:tbl>
      <w:tblPr>
        <w:tblStyle w:val="TableGrid"/>
        <w:tblW w:w="0" w:type="auto"/>
        <w:tblLook w:val="04A0" w:firstRow="1" w:lastRow="0" w:firstColumn="1" w:lastColumn="0" w:noHBand="0" w:noVBand="1"/>
      </w:tblPr>
      <w:tblGrid>
        <w:gridCol w:w="664"/>
        <w:gridCol w:w="8912"/>
      </w:tblGrid>
      <w:tr w:rsidR="002F574C" w:rsidTr="009B3E55">
        <w:tc>
          <w:tcPr>
            <w:tcW w:w="704" w:type="dxa"/>
            <w:shd w:val="clear" w:color="auto" w:fill="FFE599" w:themeFill="accent4" w:themeFillTint="66"/>
          </w:tcPr>
          <w:p w:rsidR="00013856" w:rsidRDefault="00013856" w:rsidP="00013856">
            <w:pPr>
              <w:jc w:val="center"/>
            </w:pPr>
          </w:p>
        </w:tc>
        <w:tc>
          <w:tcPr>
            <w:tcW w:w="10086" w:type="dxa"/>
            <w:shd w:val="clear" w:color="auto" w:fill="FFE599" w:themeFill="accent4" w:themeFillTint="66"/>
          </w:tcPr>
          <w:p w:rsidR="00013856" w:rsidRPr="00DD5AFD" w:rsidRDefault="00013856" w:rsidP="00DD5AFD">
            <w:pPr>
              <w:spacing w:line="276" w:lineRule="auto"/>
              <w:rPr>
                <w:b/>
                <w:sz w:val="28"/>
                <w:szCs w:val="28"/>
              </w:rPr>
            </w:pPr>
            <w:r w:rsidRPr="00DD5AFD">
              <w:rPr>
                <w:b/>
                <w:sz w:val="28"/>
                <w:szCs w:val="28"/>
              </w:rPr>
              <w:t>Professionals</w:t>
            </w:r>
          </w:p>
          <w:p w:rsidR="00B952BF" w:rsidRDefault="002F574C" w:rsidP="002F574C">
            <w:pPr>
              <w:rPr>
                <w:sz w:val="20"/>
                <w:szCs w:val="20"/>
              </w:rPr>
            </w:pPr>
            <w:r w:rsidRPr="002F574C">
              <w:rPr>
                <w:sz w:val="20"/>
                <w:szCs w:val="20"/>
              </w:rPr>
              <w:t xml:space="preserve">Housing professionals who have knowledge, skills </w:t>
            </w:r>
            <w:r w:rsidR="003607A7">
              <w:rPr>
                <w:sz w:val="20"/>
                <w:szCs w:val="20"/>
              </w:rPr>
              <w:t>and/</w:t>
            </w:r>
            <w:r w:rsidRPr="002F574C">
              <w:rPr>
                <w:sz w:val="20"/>
                <w:szCs w:val="20"/>
              </w:rPr>
              <w:t>or experience in VisitAble Housing</w:t>
            </w:r>
            <w:r w:rsidR="006045FA">
              <w:rPr>
                <w:sz w:val="20"/>
                <w:szCs w:val="20"/>
              </w:rPr>
              <w:t xml:space="preserve">. </w:t>
            </w:r>
            <w:r w:rsidR="006045FA" w:rsidRPr="006045FA">
              <w:rPr>
                <w:b/>
                <w:i/>
                <w:color w:val="FF0000"/>
                <w:sz w:val="20"/>
                <w:szCs w:val="20"/>
              </w:rPr>
              <w:t xml:space="preserve">If </w:t>
            </w:r>
            <w:r w:rsidR="006045FA">
              <w:rPr>
                <w:b/>
                <w:i/>
                <w:color w:val="FF0000"/>
                <w:sz w:val="20"/>
                <w:szCs w:val="20"/>
              </w:rPr>
              <w:t>available</w:t>
            </w:r>
            <w:r w:rsidR="006045FA" w:rsidRPr="006045FA">
              <w:rPr>
                <w:b/>
                <w:i/>
                <w:color w:val="FF0000"/>
                <w:sz w:val="20"/>
                <w:szCs w:val="20"/>
              </w:rPr>
              <w:t>, provide the contact information.</w:t>
            </w:r>
            <w:r w:rsidRPr="002F574C">
              <w:rPr>
                <w:sz w:val="20"/>
                <w:szCs w:val="20"/>
              </w:rPr>
              <w:t xml:space="preserve"> </w:t>
            </w:r>
          </w:p>
          <w:p w:rsidR="00013856" w:rsidRPr="002F574C" w:rsidRDefault="002F574C" w:rsidP="002F574C">
            <w:pPr>
              <w:rPr>
                <w:sz w:val="20"/>
                <w:szCs w:val="20"/>
              </w:rPr>
            </w:pPr>
            <w:r w:rsidRPr="002F574C">
              <w:rPr>
                <w:sz w:val="20"/>
                <w:szCs w:val="20"/>
              </w:rPr>
              <w:t>(e.g. homebuilders, architects, contractors, designers, realtors, accessibility consultants)</w:t>
            </w:r>
          </w:p>
        </w:tc>
      </w:tr>
      <w:tr w:rsidR="002F574C" w:rsidTr="00013856">
        <w:tc>
          <w:tcPr>
            <w:tcW w:w="704" w:type="dxa"/>
          </w:tcPr>
          <w:p w:rsidR="00013856" w:rsidRDefault="00013856" w:rsidP="00013856">
            <w:pPr>
              <w:jc w:val="center"/>
            </w:pPr>
            <w:r>
              <w:t>1</w:t>
            </w:r>
          </w:p>
        </w:tc>
        <w:tc>
          <w:tcPr>
            <w:tcW w:w="10086" w:type="dxa"/>
          </w:tcPr>
          <w:p w:rsidR="00593F04" w:rsidRPr="00593F04" w:rsidRDefault="00593F04" w:rsidP="004A317A">
            <w:pPr>
              <w:pStyle w:val="NormalWeb"/>
              <w:shd w:val="clear" w:color="auto" w:fill="FFFFFF"/>
              <w:spacing w:before="0" w:beforeAutospacing="0" w:after="0" w:afterAutospacing="0" w:line="276" w:lineRule="auto"/>
              <w:contextualSpacing/>
              <w:rPr>
                <w:rFonts w:ascii="Arial" w:hAnsi="Arial" w:cs="Arial"/>
                <w:color w:val="000000"/>
                <w:sz w:val="18"/>
                <w:szCs w:val="18"/>
              </w:rPr>
            </w:pPr>
            <w:r w:rsidRPr="00593F04">
              <w:rPr>
                <w:rStyle w:val="Strong"/>
                <w:rFonts w:ascii="Arial" w:hAnsi="Arial" w:cs="Arial"/>
                <w:color w:val="000000"/>
                <w:sz w:val="18"/>
                <w:szCs w:val="18"/>
              </w:rPr>
              <w:t xml:space="preserve">Brad </w:t>
            </w:r>
            <w:proofErr w:type="spellStart"/>
            <w:r w:rsidRPr="00593F04">
              <w:rPr>
                <w:rStyle w:val="Strong"/>
                <w:rFonts w:ascii="Arial" w:hAnsi="Arial" w:cs="Arial"/>
                <w:color w:val="000000"/>
                <w:sz w:val="18"/>
                <w:szCs w:val="18"/>
              </w:rPr>
              <w:t>McCannell</w:t>
            </w:r>
            <w:proofErr w:type="spellEnd"/>
            <w:r w:rsidRPr="00593F04">
              <w:rPr>
                <w:rFonts w:ascii="Arial" w:hAnsi="Arial" w:cs="Arial"/>
                <w:b/>
                <w:bCs/>
                <w:color w:val="000000"/>
                <w:sz w:val="18"/>
                <w:szCs w:val="18"/>
              </w:rPr>
              <w:br/>
            </w:r>
            <w:r w:rsidRPr="00593F04">
              <w:rPr>
                <w:rStyle w:val="Strong"/>
                <w:rFonts w:ascii="Arial" w:hAnsi="Arial" w:cs="Arial"/>
                <w:color w:val="000000"/>
                <w:sz w:val="18"/>
                <w:szCs w:val="18"/>
              </w:rPr>
              <w:t>Affiliation:</w:t>
            </w:r>
            <w:r w:rsidRPr="00593F04">
              <w:rPr>
                <w:rStyle w:val="apple-converted-space"/>
                <w:rFonts w:ascii="Arial" w:hAnsi="Arial" w:cs="Arial"/>
                <w:color w:val="000000"/>
                <w:sz w:val="18"/>
                <w:szCs w:val="18"/>
              </w:rPr>
              <w:t> </w:t>
            </w:r>
            <w:r w:rsidRPr="00593F04">
              <w:rPr>
                <w:rFonts w:ascii="Arial" w:hAnsi="Arial" w:cs="Arial"/>
                <w:color w:val="000000"/>
                <w:sz w:val="18"/>
                <w:szCs w:val="18"/>
              </w:rPr>
              <w:t>Founder and president of Canadian Barrier Free Design Inc. (CBFD)</w:t>
            </w:r>
            <w:r w:rsidRPr="00593F04">
              <w:rPr>
                <w:rFonts w:ascii="Arial" w:hAnsi="Arial" w:cs="Arial"/>
                <w:color w:val="000000"/>
                <w:sz w:val="18"/>
                <w:szCs w:val="18"/>
              </w:rPr>
              <w:br/>
            </w:r>
            <w:r w:rsidRPr="00593F04">
              <w:rPr>
                <w:rStyle w:val="Strong"/>
                <w:rFonts w:ascii="Arial" w:hAnsi="Arial" w:cs="Arial"/>
                <w:color w:val="000000"/>
                <w:sz w:val="18"/>
                <w:szCs w:val="18"/>
              </w:rPr>
              <w:t>Region:</w:t>
            </w:r>
            <w:r w:rsidRPr="00593F04">
              <w:rPr>
                <w:rStyle w:val="apple-converted-space"/>
                <w:rFonts w:ascii="Arial" w:hAnsi="Arial" w:cs="Arial"/>
                <w:color w:val="000000"/>
                <w:sz w:val="18"/>
                <w:szCs w:val="18"/>
              </w:rPr>
              <w:t> </w:t>
            </w:r>
            <w:r w:rsidRPr="00593F04">
              <w:rPr>
                <w:rFonts w:ascii="Arial" w:hAnsi="Arial" w:cs="Arial"/>
                <w:color w:val="000000"/>
                <w:sz w:val="18"/>
                <w:szCs w:val="18"/>
              </w:rPr>
              <w:t>Vancouver, British Columbia</w:t>
            </w:r>
            <w:r w:rsidRPr="00593F04">
              <w:rPr>
                <w:rFonts w:ascii="Arial" w:hAnsi="Arial" w:cs="Arial"/>
                <w:color w:val="000000"/>
                <w:sz w:val="18"/>
                <w:szCs w:val="18"/>
              </w:rPr>
              <w:br/>
            </w:r>
            <w:r w:rsidRPr="00593F04">
              <w:rPr>
                <w:rStyle w:val="Strong"/>
                <w:rFonts w:ascii="Arial" w:hAnsi="Arial" w:cs="Arial"/>
                <w:color w:val="000000"/>
                <w:sz w:val="18"/>
                <w:szCs w:val="18"/>
              </w:rPr>
              <w:t>Contact Information:</w:t>
            </w:r>
            <w:r w:rsidRPr="00593F04">
              <w:rPr>
                <w:rStyle w:val="apple-converted-space"/>
                <w:rFonts w:ascii="Arial" w:hAnsi="Arial" w:cs="Arial"/>
                <w:color w:val="000000"/>
                <w:sz w:val="18"/>
                <w:szCs w:val="18"/>
              </w:rPr>
              <w:t> </w:t>
            </w:r>
            <w:r w:rsidRPr="00593F04">
              <w:rPr>
                <w:rFonts w:ascii="Arial" w:hAnsi="Arial" w:cs="Arial"/>
                <w:color w:val="000000"/>
                <w:sz w:val="18"/>
                <w:szCs w:val="18"/>
              </w:rPr>
              <w:t>(604) 838-6927 info@barrierfreedesign.ca</w:t>
            </w:r>
          </w:p>
          <w:p w:rsidR="00593F04" w:rsidRPr="00593F04" w:rsidRDefault="00593F04" w:rsidP="004A317A">
            <w:pPr>
              <w:pStyle w:val="NormalWeb"/>
              <w:shd w:val="clear" w:color="auto" w:fill="FFFFFF"/>
              <w:spacing w:before="0" w:beforeAutospacing="0" w:after="0" w:afterAutospacing="0" w:line="276" w:lineRule="auto"/>
              <w:contextualSpacing/>
              <w:rPr>
                <w:rFonts w:ascii="Arial" w:hAnsi="Arial" w:cs="Arial"/>
                <w:color w:val="000000"/>
                <w:sz w:val="18"/>
                <w:szCs w:val="18"/>
              </w:rPr>
            </w:pPr>
            <w:r w:rsidRPr="00593F04">
              <w:rPr>
                <w:rStyle w:val="Strong"/>
                <w:rFonts w:ascii="Arial" w:hAnsi="Arial" w:cs="Arial"/>
                <w:color w:val="000000"/>
                <w:sz w:val="18"/>
                <w:szCs w:val="18"/>
              </w:rPr>
              <w:t>Involvement in VisitAbility/Universal Design:</w:t>
            </w:r>
          </w:p>
          <w:p w:rsidR="00593F04" w:rsidRPr="00593F04" w:rsidRDefault="00593F04" w:rsidP="004A317A">
            <w:pPr>
              <w:pStyle w:val="NormalWeb"/>
              <w:shd w:val="clear" w:color="auto" w:fill="FFFFFF"/>
              <w:spacing w:before="0" w:beforeAutospacing="0" w:after="0" w:afterAutospacing="0" w:line="276" w:lineRule="auto"/>
              <w:contextualSpacing/>
              <w:rPr>
                <w:rFonts w:ascii="Arial" w:hAnsi="Arial" w:cs="Arial"/>
                <w:color w:val="000000"/>
                <w:sz w:val="18"/>
                <w:szCs w:val="18"/>
              </w:rPr>
            </w:pPr>
            <w:r w:rsidRPr="00593F04">
              <w:rPr>
                <w:rFonts w:ascii="Arial" w:hAnsi="Arial" w:cs="Arial"/>
                <w:color w:val="000000"/>
                <w:sz w:val="18"/>
                <w:szCs w:val="18"/>
              </w:rPr>
              <w:t>In 1990, Brad formed Canadian Barrier Free Design Inc. (CBFD) to fill the gap between the application of the building code and the real needs of the community of persons with disabilities. He has extensive experience in developing the entire accessible environment including retrofitting existing facilities, new construction planning, employee training as well as developing tools for human resource management as it relates to people with disabilities.</w:t>
            </w:r>
          </w:p>
          <w:p w:rsidR="00013856" w:rsidRPr="00593F04" w:rsidRDefault="00593F04" w:rsidP="004A317A">
            <w:pPr>
              <w:pStyle w:val="NormalWeb"/>
              <w:shd w:val="clear" w:color="auto" w:fill="FFFFFF"/>
              <w:spacing w:before="0" w:beforeAutospacing="0" w:after="0" w:afterAutospacing="0" w:line="276" w:lineRule="auto"/>
              <w:contextualSpacing/>
              <w:rPr>
                <w:rFonts w:ascii="Arial" w:hAnsi="Arial" w:cs="Arial"/>
                <w:color w:val="000000"/>
                <w:sz w:val="20"/>
                <w:szCs w:val="20"/>
              </w:rPr>
            </w:pPr>
            <w:r w:rsidRPr="00593F04">
              <w:rPr>
                <w:rFonts w:ascii="Arial" w:hAnsi="Arial" w:cs="Arial"/>
                <w:color w:val="000000"/>
                <w:sz w:val="18"/>
                <w:szCs w:val="18"/>
              </w:rPr>
              <w:t xml:space="preserve">He is the Access Consultant on several large British Columbia projects including the 2010 Winter Olympic and Paralympic Games, the Vancouver Convention Centre Expansion Project, the re-development of the Vancouver International Airport, and the </w:t>
            </w:r>
            <w:proofErr w:type="spellStart"/>
            <w:r w:rsidRPr="00593F04">
              <w:rPr>
                <w:rFonts w:ascii="Arial" w:hAnsi="Arial" w:cs="Arial"/>
                <w:color w:val="000000"/>
                <w:sz w:val="18"/>
                <w:szCs w:val="18"/>
              </w:rPr>
              <w:t>Skytrain</w:t>
            </w:r>
            <w:proofErr w:type="spellEnd"/>
            <w:r w:rsidRPr="00593F04">
              <w:rPr>
                <w:rFonts w:ascii="Arial" w:hAnsi="Arial" w:cs="Arial"/>
                <w:color w:val="000000"/>
                <w:sz w:val="18"/>
                <w:szCs w:val="18"/>
              </w:rPr>
              <w:t xml:space="preserve"> rapid transit system</w:t>
            </w:r>
            <w:r>
              <w:rPr>
                <w:rFonts w:ascii="Arial" w:hAnsi="Arial" w:cs="Arial"/>
                <w:color w:val="000000"/>
                <w:sz w:val="20"/>
                <w:szCs w:val="20"/>
              </w:rPr>
              <w:t>.</w:t>
            </w:r>
          </w:p>
        </w:tc>
      </w:tr>
      <w:tr w:rsidR="002F574C" w:rsidTr="00013856">
        <w:tc>
          <w:tcPr>
            <w:tcW w:w="704" w:type="dxa"/>
          </w:tcPr>
          <w:p w:rsidR="00013856" w:rsidRDefault="00013856" w:rsidP="00013856">
            <w:pPr>
              <w:jc w:val="center"/>
            </w:pPr>
            <w:r>
              <w:t>2</w:t>
            </w:r>
          </w:p>
        </w:tc>
        <w:tc>
          <w:tcPr>
            <w:tcW w:w="10086" w:type="dxa"/>
          </w:tcPr>
          <w:p w:rsidR="00013856" w:rsidRDefault="00013856"/>
        </w:tc>
      </w:tr>
      <w:tr w:rsidR="002F574C" w:rsidTr="00013856">
        <w:tc>
          <w:tcPr>
            <w:tcW w:w="704" w:type="dxa"/>
          </w:tcPr>
          <w:p w:rsidR="00013856" w:rsidRDefault="00013856" w:rsidP="00013856">
            <w:pPr>
              <w:jc w:val="center"/>
            </w:pPr>
            <w:r>
              <w:t>3</w:t>
            </w:r>
          </w:p>
        </w:tc>
        <w:tc>
          <w:tcPr>
            <w:tcW w:w="10086" w:type="dxa"/>
          </w:tcPr>
          <w:p w:rsidR="00013856" w:rsidRDefault="00013856"/>
        </w:tc>
      </w:tr>
      <w:tr w:rsidR="002F574C" w:rsidTr="00013856">
        <w:tc>
          <w:tcPr>
            <w:tcW w:w="704" w:type="dxa"/>
          </w:tcPr>
          <w:p w:rsidR="00013856" w:rsidRDefault="00013856" w:rsidP="00013856">
            <w:pPr>
              <w:jc w:val="center"/>
            </w:pPr>
            <w:r>
              <w:t>4</w:t>
            </w:r>
          </w:p>
        </w:tc>
        <w:tc>
          <w:tcPr>
            <w:tcW w:w="10086" w:type="dxa"/>
          </w:tcPr>
          <w:p w:rsidR="00013856" w:rsidRDefault="00013856"/>
        </w:tc>
      </w:tr>
      <w:tr w:rsidR="00013856" w:rsidTr="00013856">
        <w:tc>
          <w:tcPr>
            <w:tcW w:w="704" w:type="dxa"/>
          </w:tcPr>
          <w:p w:rsidR="00013856" w:rsidRDefault="00013856" w:rsidP="00013856">
            <w:pPr>
              <w:jc w:val="center"/>
            </w:pPr>
            <w:r>
              <w:t>…</w:t>
            </w:r>
          </w:p>
        </w:tc>
        <w:tc>
          <w:tcPr>
            <w:tcW w:w="10086" w:type="dxa"/>
          </w:tcPr>
          <w:p w:rsidR="00013856" w:rsidRDefault="00013856"/>
        </w:tc>
      </w:tr>
    </w:tbl>
    <w:p w:rsidR="00013856" w:rsidRDefault="00013856"/>
    <w:p w:rsidR="009B3E55" w:rsidRDefault="009B3E55" w:rsidP="009B3E55"/>
    <w:p w:rsidR="00566BFA" w:rsidRDefault="00566BFA" w:rsidP="009B3E55"/>
    <w:p w:rsidR="00566BFA" w:rsidRDefault="00566BFA" w:rsidP="009B3E55"/>
    <w:p w:rsidR="00566BFA" w:rsidRDefault="00566BFA" w:rsidP="009B3E55"/>
    <w:tbl>
      <w:tblPr>
        <w:tblStyle w:val="TableGrid"/>
        <w:tblW w:w="0" w:type="auto"/>
        <w:tblLook w:val="04A0" w:firstRow="1" w:lastRow="0" w:firstColumn="1" w:lastColumn="0" w:noHBand="0" w:noVBand="1"/>
      </w:tblPr>
      <w:tblGrid>
        <w:gridCol w:w="665"/>
        <w:gridCol w:w="8911"/>
      </w:tblGrid>
      <w:tr w:rsidR="009B3E55" w:rsidTr="009B3E55">
        <w:tc>
          <w:tcPr>
            <w:tcW w:w="704" w:type="dxa"/>
            <w:shd w:val="clear" w:color="auto" w:fill="B4C6E7" w:themeFill="accent5" w:themeFillTint="66"/>
          </w:tcPr>
          <w:p w:rsidR="009B3E55" w:rsidRDefault="009B3E55" w:rsidP="00D07910">
            <w:pPr>
              <w:jc w:val="center"/>
            </w:pPr>
          </w:p>
        </w:tc>
        <w:tc>
          <w:tcPr>
            <w:tcW w:w="10086" w:type="dxa"/>
            <w:shd w:val="clear" w:color="auto" w:fill="B4C6E7" w:themeFill="accent5" w:themeFillTint="66"/>
          </w:tcPr>
          <w:p w:rsidR="009B3E55" w:rsidRPr="002F574C" w:rsidRDefault="009B3E55" w:rsidP="002F574C">
            <w:pPr>
              <w:spacing w:line="276" w:lineRule="auto"/>
              <w:rPr>
                <w:b/>
                <w:sz w:val="28"/>
                <w:szCs w:val="28"/>
              </w:rPr>
            </w:pPr>
            <w:r w:rsidRPr="002F574C">
              <w:rPr>
                <w:b/>
                <w:sz w:val="28"/>
                <w:szCs w:val="28"/>
              </w:rPr>
              <w:t>Organizations</w:t>
            </w:r>
            <w:r w:rsidR="003607A7">
              <w:rPr>
                <w:b/>
                <w:sz w:val="28"/>
                <w:szCs w:val="28"/>
              </w:rPr>
              <w:t xml:space="preserve"> &amp; Programs</w:t>
            </w:r>
          </w:p>
          <w:p w:rsidR="009B3E55" w:rsidRPr="002F574C" w:rsidRDefault="003607A7" w:rsidP="006045FA">
            <w:pPr>
              <w:rPr>
                <w:sz w:val="20"/>
                <w:szCs w:val="20"/>
              </w:rPr>
            </w:pPr>
            <w:r>
              <w:rPr>
                <w:sz w:val="20"/>
                <w:szCs w:val="20"/>
              </w:rPr>
              <w:t xml:space="preserve">Government, non-government organizations, private businesses, and/or their programs that </w:t>
            </w:r>
            <w:r w:rsidR="00742E39">
              <w:rPr>
                <w:sz w:val="20"/>
                <w:szCs w:val="20"/>
              </w:rPr>
              <w:t>has information or expertise about VisitAble Housing</w:t>
            </w:r>
            <w:r w:rsidR="006045FA">
              <w:rPr>
                <w:sz w:val="20"/>
                <w:szCs w:val="20"/>
              </w:rPr>
              <w:t xml:space="preserve">. </w:t>
            </w:r>
            <w:r w:rsidR="006045FA" w:rsidRPr="006045FA">
              <w:rPr>
                <w:b/>
                <w:i/>
                <w:color w:val="FF0000"/>
                <w:sz w:val="20"/>
                <w:szCs w:val="20"/>
              </w:rPr>
              <w:t xml:space="preserve">If </w:t>
            </w:r>
            <w:r w:rsidR="006045FA">
              <w:rPr>
                <w:b/>
                <w:i/>
                <w:color w:val="FF0000"/>
                <w:sz w:val="20"/>
                <w:szCs w:val="20"/>
              </w:rPr>
              <w:t>available</w:t>
            </w:r>
            <w:r w:rsidR="006045FA" w:rsidRPr="006045FA">
              <w:rPr>
                <w:b/>
                <w:i/>
                <w:color w:val="FF0000"/>
                <w:sz w:val="20"/>
                <w:szCs w:val="20"/>
              </w:rPr>
              <w:t>, provide the contact information.</w:t>
            </w:r>
          </w:p>
        </w:tc>
      </w:tr>
      <w:tr w:rsidR="009B3E55" w:rsidTr="00D07910">
        <w:tc>
          <w:tcPr>
            <w:tcW w:w="704" w:type="dxa"/>
          </w:tcPr>
          <w:p w:rsidR="009B3E55" w:rsidRDefault="009B3E55" w:rsidP="00D07910">
            <w:pPr>
              <w:jc w:val="center"/>
            </w:pPr>
            <w:r>
              <w:t>1</w:t>
            </w:r>
          </w:p>
        </w:tc>
        <w:tc>
          <w:tcPr>
            <w:tcW w:w="10086" w:type="dxa"/>
          </w:tcPr>
          <w:p w:rsidR="009B3E55" w:rsidRDefault="009B3E55" w:rsidP="00D07910"/>
        </w:tc>
      </w:tr>
      <w:tr w:rsidR="009B3E55" w:rsidTr="00D07910">
        <w:tc>
          <w:tcPr>
            <w:tcW w:w="704" w:type="dxa"/>
          </w:tcPr>
          <w:p w:rsidR="009B3E55" w:rsidRDefault="009B3E55" w:rsidP="00D07910">
            <w:pPr>
              <w:jc w:val="center"/>
            </w:pPr>
            <w:r>
              <w:t>2</w:t>
            </w:r>
          </w:p>
        </w:tc>
        <w:tc>
          <w:tcPr>
            <w:tcW w:w="10086" w:type="dxa"/>
          </w:tcPr>
          <w:p w:rsidR="009B3E55" w:rsidRDefault="009B3E55" w:rsidP="00D07910"/>
        </w:tc>
      </w:tr>
      <w:tr w:rsidR="009B3E55" w:rsidTr="00D07910">
        <w:tc>
          <w:tcPr>
            <w:tcW w:w="704" w:type="dxa"/>
          </w:tcPr>
          <w:p w:rsidR="009B3E55" w:rsidRDefault="009B3E55" w:rsidP="00D07910">
            <w:pPr>
              <w:jc w:val="center"/>
            </w:pPr>
            <w:r>
              <w:t>3</w:t>
            </w:r>
          </w:p>
        </w:tc>
        <w:tc>
          <w:tcPr>
            <w:tcW w:w="10086" w:type="dxa"/>
          </w:tcPr>
          <w:p w:rsidR="009B3E55" w:rsidRDefault="009B3E55" w:rsidP="00D07910"/>
        </w:tc>
      </w:tr>
      <w:tr w:rsidR="009B3E55" w:rsidTr="00D07910">
        <w:tc>
          <w:tcPr>
            <w:tcW w:w="704" w:type="dxa"/>
          </w:tcPr>
          <w:p w:rsidR="009B3E55" w:rsidRDefault="009B3E55" w:rsidP="00D07910">
            <w:pPr>
              <w:jc w:val="center"/>
            </w:pPr>
            <w:r>
              <w:t>4</w:t>
            </w:r>
          </w:p>
        </w:tc>
        <w:tc>
          <w:tcPr>
            <w:tcW w:w="10086" w:type="dxa"/>
          </w:tcPr>
          <w:p w:rsidR="009B3E55" w:rsidRDefault="009B3E55" w:rsidP="00D07910"/>
        </w:tc>
      </w:tr>
      <w:tr w:rsidR="009B3E55" w:rsidTr="00D07910">
        <w:tc>
          <w:tcPr>
            <w:tcW w:w="704" w:type="dxa"/>
          </w:tcPr>
          <w:p w:rsidR="009B3E55" w:rsidRDefault="009B3E55" w:rsidP="00D07910">
            <w:pPr>
              <w:jc w:val="center"/>
            </w:pPr>
            <w:r>
              <w:t>…</w:t>
            </w:r>
          </w:p>
        </w:tc>
        <w:tc>
          <w:tcPr>
            <w:tcW w:w="10086" w:type="dxa"/>
          </w:tcPr>
          <w:p w:rsidR="009B3E55" w:rsidRDefault="009B3E55" w:rsidP="00D07910"/>
        </w:tc>
      </w:tr>
    </w:tbl>
    <w:p w:rsidR="009B3E55" w:rsidRDefault="009B3E55" w:rsidP="009B3E55"/>
    <w:p w:rsidR="009B3E55" w:rsidRDefault="009B3E55"/>
    <w:p w:rsidR="00566BFA" w:rsidRDefault="00566BFA"/>
    <w:p w:rsidR="00566BFA" w:rsidRDefault="00566BFA"/>
    <w:p w:rsidR="00566BFA" w:rsidRDefault="00566BFA"/>
    <w:p w:rsidR="00566BFA" w:rsidRDefault="00566BFA"/>
    <w:p w:rsidR="009B3E55" w:rsidRDefault="009B3E55" w:rsidP="009B3E55"/>
    <w:tbl>
      <w:tblPr>
        <w:tblStyle w:val="TableGrid"/>
        <w:tblW w:w="0" w:type="auto"/>
        <w:tblLook w:val="04A0" w:firstRow="1" w:lastRow="0" w:firstColumn="1" w:lastColumn="0" w:noHBand="0" w:noVBand="1"/>
      </w:tblPr>
      <w:tblGrid>
        <w:gridCol w:w="659"/>
        <w:gridCol w:w="8691"/>
      </w:tblGrid>
      <w:tr w:rsidR="009B3E55" w:rsidTr="004A317A">
        <w:tc>
          <w:tcPr>
            <w:tcW w:w="659" w:type="dxa"/>
            <w:shd w:val="clear" w:color="auto" w:fill="C5E0B3" w:themeFill="accent6" w:themeFillTint="66"/>
          </w:tcPr>
          <w:p w:rsidR="009B3E55" w:rsidRDefault="009B3E55" w:rsidP="00D07910">
            <w:pPr>
              <w:jc w:val="center"/>
            </w:pPr>
          </w:p>
        </w:tc>
        <w:tc>
          <w:tcPr>
            <w:tcW w:w="8691" w:type="dxa"/>
            <w:shd w:val="clear" w:color="auto" w:fill="C5E0B3" w:themeFill="accent6" w:themeFillTint="66"/>
          </w:tcPr>
          <w:p w:rsidR="009B3E55" w:rsidRPr="002F574C" w:rsidRDefault="009B3E55" w:rsidP="002F574C">
            <w:pPr>
              <w:spacing w:line="276" w:lineRule="auto"/>
              <w:rPr>
                <w:b/>
                <w:sz w:val="28"/>
                <w:szCs w:val="28"/>
              </w:rPr>
            </w:pPr>
            <w:r w:rsidRPr="002F574C">
              <w:rPr>
                <w:b/>
                <w:sz w:val="28"/>
                <w:szCs w:val="28"/>
              </w:rPr>
              <w:t>Policies &amp; Legislation</w:t>
            </w:r>
          </w:p>
          <w:p w:rsidR="00B952BF" w:rsidRDefault="00742E39" w:rsidP="00742E39">
            <w:pPr>
              <w:rPr>
                <w:sz w:val="20"/>
                <w:szCs w:val="20"/>
              </w:rPr>
            </w:pPr>
            <w:r>
              <w:rPr>
                <w:sz w:val="20"/>
                <w:szCs w:val="20"/>
              </w:rPr>
              <w:t>Provincial or municipal policies and legislation directly or indirectly pertaining to VisitAble Housing</w:t>
            </w:r>
            <w:r w:rsidR="00F70AB6">
              <w:rPr>
                <w:sz w:val="20"/>
                <w:szCs w:val="20"/>
              </w:rPr>
              <w:t xml:space="preserve"> </w:t>
            </w:r>
          </w:p>
          <w:p w:rsidR="009B3E55" w:rsidRPr="002F574C" w:rsidRDefault="00F70AB6" w:rsidP="00742E39">
            <w:pPr>
              <w:rPr>
                <w:sz w:val="20"/>
                <w:szCs w:val="20"/>
              </w:rPr>
            </w:pPr>
            <w:r>
              <w:rPr>
                <w:sz w:val="20"/>
                <w:szCs w:val="20"/>
              </w:rPr>
              <w:t>(e.g., building code, bylaws, standards, accessibility guide)</w:t>
            </w:r>
          </w:p>
        </w:tc>
      </w:tr>
      <w:tr w:rsidR="004A317A" w:rsidTr="004A317A">
        <w:tc>
          <w:tcPr>
            <w:tcW w:w="659" w:type="dxa"/>
          </w:tcPr>
          <w:p w:rsidR="004A317A" w:rsidRDefault="004A317A" w:rsidP="004A317A">
            <w:pPr>
              <w:jc w:val="center"/>
            </w:pPr>
            <w:r>
              <w:t>1</w:t>
            </w:r>
          </w:p>
        </w:tc>
        <w:tc>
          <w:tcPr>
            <w:tcW w:w="8691" w:type="dxa"/>
          </w:tcPr>
          <w:p w:rsidR="004A317A" w:rsidRDefault="004A317A" w:rsidP="004A317A">
            <w:pPr>
              <w:pStyle w:val="NormalWeb"/>
              <w:shd w:val="clear" w:color="auto" w:fill="FFFFFF"/>
              <w:spacing w:line="276" w:lineRule="auto"/>
              <w:contextualSpacing/>
              <w:rPr>
                <w:rFonts w:ascii="Arial" w:hAnsi="Arial" w:cs="Arial"/>
                <w:color w:val="000000"/>
                <w:sz w:val="18"/>
                <w:szCs w:val="18"/>
              </w:rPr>
            </w:pPr>
            <w:r w:rsidRPr="004A317A">
              <w:rPr>
                <w:rStyle w:val="Strong"/>
                <w:rFonts w:ascii="Arial" w:hAnsi="Arial" w:cs="Arial"/>
                <w:color w:val="000000"/>
                <w:sz w:val="18"/>
                <w:szCs w:val="18"/>
              </w:rPr>
              <w:t>Name of Policy/Legislation:</w:t>
            </w:r>
            <w:r w:rsidRPr="004A317A">
              <w:rPr>
                <w:rStyle w:val="apple-converted-space"/>
                <w:rFonts w:ascii="Arial" w:hAnsi="Arial" w:cs="Arial"/>
                <w:color w:val="000000"/>
                <w:sz w:val="18"/>
                <w:szCs w:val="18"/>
              </w:rPr>
              <w:t> </w:t>
            </w:r>
            <w:r w:rsidRPr="004A317A">
              <w:rPr>
                <w:rFonts w:ascii="Arial" w:hAnsi="Arial" w:cs="Arial"/>
                <w:color w:val="000000"/>
                <w:sz w:val="18"/>
                <w:szCs w:val="18"/>
              </w:rPr>
              <w:t>2014 Building By-Law (Vancouver</w:t>
            </w:r>
            <w:proofErr w:type="gramStart"/>
            <w:r w:rsidRPr="004A317A">
              <w:rPr>
                <w:rFonts w:ascii="Arial" w:hAnsi="Arial" w:cs="Arial"/>
                <w:color w:val="000000"/>
                <w:sz w:val="18"/>
                <w:szCs w:val="18"/>
              </w:rPr>
              <w:t>)</w:t>
            </w:r>
            <w:proofErr w:type="gramEnd"/>
            <w:r w:rsidRPr="004A317A">
              <w:rPr>
                <w:rFonts w:ascii="Arial" w:hAnsi="Arial" w:cs="Arial"/>
                <w:color w:val="000000"/>
                <w:sz w:val="18"/>
                <w:szCs w:val="18"/>
              </w:rPr>
              <w:br/>
            </w:r>
            <w:r w:rsidRPr="004A317A">
              <w:rPr>
                <w:rStyle w:val="Strong"/>
                <w:rFonts w:ascii="Arial" w:hAnsi="Arial" w:cs="Arial"/>
                <w:color w:val="000000"/>
                <w:sz w:val="18"/>
                <w:szCs w:val="18"/>
              </w:rPr>
              <w:t>Adopted:</w:t>
            </w:r>
            <w:r w:rsidRPr="004A317A">
              <w:rPr>
                <w:rStyle w:val="apple-converted-space"/>
                <w:rFonts w:ascii="Arial" w:hAnsi="Arial" w:cs="Arial"/>
                <w:color w:val="000000"/>
                <w:sz w:val="18"/>
                <w:szCs w:val="18"/>
              </w:rPr>
              <w:t> </w:t>
            </w:r>
            <w:r w:rsidRPr="004A317A">
              <w:rPr>
                <w:rFonts w:ascii="Arial" w:hAnsi="Arial" w:cs="Arial"/>
                <w:color w:val="000000"/>
                <w:sz w:val="18"/>
                <w:szCs w:val="18"/>
              </w:rPr>
              <w:t>2013</w:t>
            </w:r>
            <w:r w:rsidRPr="004A317A">
              <w:rPr>
                <w:rFonts w:ascii="Arial" w:hAnsi="Arial" w:cs="Arial"/>
                <w:color w:val="000000"/>
                <w:sz w:val="18"/>
                <w:szCs w:val="18"/>
              </w:rPr>
              <w:br/>
            </w:r>
            <w:r w:rsidRPr="004A317A">
              <w:rPr>
                <w:rStyle w:val="Strong"/>
                <w:rFonts w:ascii="Arial" w:hAnsi="Arial" w:cs="Arial"/>
                <w:color w:val="000000"/>
                <w:sz w:val="18"/>
                <w:szCs w:val="18"/>
              </w:rPr>
              <w:t>Features:</w:t>
            </w:r>
            <w:r w:rsidRPr="004A317A">
              <w:rPr>
                <w:rStyle w:val="apple-converted-space"/>
                <w:rFonts w:ascii="Arial" w:hAnsi="Arial" w:cs="Arial"/>
                <w:color w:val="000000"/>
                <w:sz w:val="18"/>
                <w:szCs w:val="18"/>
              </w:rPr>
              <w:t> </w:t>
            </w:r>
            <w:r w:rsidRPr="004A317A">
              <w:rPr>
                <w:rFonts w:ascii="Arial" w:hAnsi="Arial" w:cs="Arial"/>
                <w:color w:val="000000"/>
                <w:sz w:val="18"/>
                <w:szCs w:val="18"/>
              </w:rPr>
              <w:t>The City wants all new single-family, townhouse and laneway homes to meet minimum accessibility standards.</w:t>
            </w:r>
          </w:p>
          <w:p w:rsidR="003865B9" w:rsidRPr="003865B9" w:rsidRDefault="003865B9" w:rsidP="004A317A">
            <w:pPr>
              <w:pStyle w:val="NormalWeb"/>
              <w:shd w:val="clear" w:color="auto" w:fill="FFFFFF"/>
              <w:spacing w:line="276" w:lineRule="auto"/>
              <w:contextualSpacing/>
              <w:rPr>
                <w:rFonts w:ascii="Arial" w:hAnsi="Arial" w:cs="Arial"/>
                <w:b/>
                <w:color w:val="000000"/>
                <w:sz w:val="18"/>
                <w:szCs w:val="18"/>
              </w:rPr>
            </w:pPr>
            <w:r w:rsidRPr="003865B9">
              <w:rPr>
                <w:rFonts w:ascii="Arial" w:hAnsi="Arial" w:cs="Arial"/>
                <w:b/>
                <w:color w:val="000000"/>
                <w:sz w:val="18"/>
                <w:szCs w:val="18"/>
              </w:rPr>
              <w:t xml:space="preserve">Building by-law: </w:t>
            </w:r>
          </w:p>
          <w:p w:rsidR="003865B9" w:rsidRPr="004A317A" w:rsidRDefault="00A512C8" w:rsidP="004A317A">
            <w:pPr>
              <w:pStyle w:val="NormalWeb"/>
              <w:shd w:val="clear" w:color="auto" w:fill="FFFFFF"/>
              <w:spacing w:line="276" w:lineRule="auto"/>
              <w:contextualSpacing/>
              <w:rPr>
                <w:rFonts w:ascii="Arial" w:hAnsi="Arial" w:cs="Arial"/>
                <w:color w:val="000000"/>
                <w:sz w:val="18"/>
                <w:szCs w:val="18"/>
              </w:rPr>
            </w:pPr>
            <w:hyperlink r:id="rId9" w:history="1">
              <w:r w:rsidR="003865B9" w:rsidRPr="00E07686">
                <w:rPr>
                  <w:rStyle w:val="Hyperlink"/>
                  <w:sz w:val="18"/>
                  <w:szCs w:val="18"/>
                </w:rPr>
                <w:t>http://visitablehousingcanada.com/wp-content/uploads/2014/05/Vancouver-Housing-bylaw-report-to-Council-passed-2013-09-11.pdf</w:t>
              </w:r>
            </w:hyperlink>
          </w:p>
        </w:tc>
      </w:tr>
      <w:tr w:rsidR="004A317A" w:rsidTr="004A317A">
        <w:tc>
          <w:tcPr>
            <w:tcW w:w="659" w:type="dxa"/>
          </w:tcPr>
          <w:p w:rsidR="004A317A" w:rsidRDefault="004A317A" w:rsidP="004A317A">
            <w:pPr>
              <w:jc w:val="center"/>
            </w:pPr>
            <w:r>
              <w:t>2</w:t>
            </w:r>
          </w:p>
        </w:tc>
        <w:tc>
          <w:tcPr>
            <w:tcW w:w="8691" w:type="dxa"/>
          </w:tcPr>
          <w:p w:rsidR="004A317A" w:rsidRDefault="004A317A" w:rsidP="004A317A">
            <w:pPr>
              <w:pStyle w:val="NormalWeb"/>
              <w:shd w:val="clear" w:color="auto" w:fill="FFFFFF"/>
              <w:spacing w:line="276" w:lineRule="auto"/>
              <w:contextualSpacing/>
              <w:rPr>
                <w:rFonts w:ascii="Arial" w:hAnsi="Arial" w:cs="Arial"/>
                <w:color w:val="000000"/>
                <w:sz w:val="18"/>
                <w:szCs w:val="18"/>
              </w:rPr>
            </w:pPr>
            <w:r w:rsidRPr="004A317A">
              <w:rPr>
                <w:rStyle w:val="Strong"/>
                <w:rFonts w:ascii="Arial" w:hAnsi="Arial" w:cs="Arial"/>
                <w:color w:val="000000"/>
                <w:sz w:val="18"/>
                <w:szCs w:val="18"/>
              </w:rPr>
              <w:t>Name of Policy/Legislation:</w:t>
            </w:r>
            <w:r w:rsidRPr="004A317A">
              <w:rPr>
                <w:rStyle w:val="apple-converted-space"/>
                <w:rFonts w:ascii="Arial" w:hAnsi="Arial" w:cs="Arial"/>
                <w:color w:val="000000"/>
                <w:sz w:val="18"/>
                <w:szCs w:val="18"/>
              </w:rPr>
              <w:t> </w:t>
            </w:r>
            <w:r w:rsidRPr="004A317A">
              <w:rPr>
                <w:rFonts w:ascii="Arial" w:hAnsi="Arial" w:cs="Arial"/>
                <w:color w:val="000000"/>
                <w:sz w:val="18"/>
                <w:szCs w:val="18"/>
              </w:rPr>
              <w:t>Amendments to Zoning By-Law (Saanich, British Columbia</w:t>
            </w:r>
            <w:proofErr w:type="gramStart"/>
            <w:r w:rsidRPr="004A317A">
              <w:rPr>
                <w:rFonts w:ascii="Arial" w:hAnsi="Arial" w:cs="Arial"/>
                <w:color w:val="000000"/>
                <w:sz w:val="18"/>
                <w:szCs w:val="18"/>
              </w:rPr>
              <w:t>)</w:t>
            </w:r>
            <w:proofErr w:type="gramEnd"/>
            <w:r w:rsidRPr="004A317A">
              <w:rPr>
                <w:rFonts w:ascii="Arial" w:hAnsi="Arial" w:cs="Arial"/>
                <w:color w:val="000000"/>
                <w:sz w:val="18"/>
                <w:szCs w:val="18"/>
              </w:rPr>
              <w:br/>
            </w:r>
            <w:r w:rsidRPr="004A317A">
              <w:rPr>
                <w:rStyle w:val="Strong"/>
                <w:rFonts w:ascii="Arial" w:hAnsi="Arial" w:cs="Arial"/>
                <w:color w:val="000000"/>
                <w:sz w:val="18"/>
                <w:szCs w:val="18"/>
              </w:rPr>
              <w:t>Adopted:</w:t>
            </w:r>
            <w:r w:rsidRPr="004A317A">
              <w:rPr>
                <w:rStyle w:val="apple-converted-space"/>
                <w:rFonts w:ascii="Arial" w:hAnsi="Arial" w:cs="Arial"/>
                <w:color w:val="000000"/>
                <w:sz w:val="18"/>
                <w:szCs w:val="18"/>
              </w:rPr>
              <w:t> </w:t>
            </w:r>
            <w:r w:rsidRPr="004A317A">
              <w:rPr>
                <w:rFonts w:ascii="Arial" w:hAnsi="Arial" w:cs="Arial"/>
                <w:color w:val="000000"/>
                <w:sz w:val="18"/>
                <w:szCs w:val="18"/>
              </w:rPr>
              <w:t>November 2003</w:t>
            </w:r>
            <w:r w:rsidRPr="004A317A">
              <w:rPr>
                <w:rFonts w:ascii="Arial" w:hAnsi="Arial" w:cs="Arial"/>
                <w:color w:val="000000"/>
                <w:sz w:val="18"/>
                <w:szCs w:val="18"/>
              </w:rPr>
              <w:br/>
            </w:r>
            <w:r w:rsidRPr="004A317A">
              <w:rPr>
                <w:rStyle w:val="Strong"/>
                <w:rFonts w:ascii="Arial" w:hAnsi="Arial" w:cs="Arial"/>
                <w:color w:val="000000"/>
                <w:sz w:val="18"/>
                <w:szCs w:val="18"/>
              </w:rPr>
              <w:t>Features:</w:t>
            </w:r>
            <w:r w:rsidRPr="004A317A">
              <w:rPr>
                <w:rStyle w:val="apple-converted-space"/>
                <w:rFonts w:ascii="Arial" w:hAnsi="Arial" w:cs="Arial"/>
                <w:color w:val="000000"/>
                <w:sz w:val="18"/>
                <w:szCs w:val="18"/>
              </w:rPr>
              <w:t> </w:t>
            </w:r>
            <w:r w:rsidRPr="004A317A">
              <w:rPr>
                <w:rFonts w:ascii="Arial" w:hAnsi="Arial" w:cs="Arial"/>
                <w:color w:val="000000"/>
                <w:sz w:val="18"/>
                <w:szCs w:val="18"/>
              </w:rPr>
              <w:t>This Amendment requires that most newly-constructed apartment buildings and seniors’ congregate care facilities be built to include Basic Adaptable Housing standards. </w:t>
            </w:r>
          </w:p>
          <w:p w:rsidR="003865B9" w:rsidRPr="003865B9" w:rsidRDefault="003865B9" w:rsidP="004A317A">
            <w:pPr>
              <w:pStyle w:val="NormalWeb"/>
              <w:shd w:val="clear" w:color="auto" w:fill="FFFFFF"/>
              <w:spacing w:line="276" w:lineRule="auto"/>
              <w:contextualSpacing/>
              <w:rPr>
                <w:rFonts w:ascii="Arial" w:hAnsi="Arial" w:cs="Arial"/>
                <w:b/>
                <w:color w:val="000000"/>
                <w:sz w:val="18"/>
                <w:szCs w:val="18"/>
              </w:rPr>
            </w:pPr>
            <w:r w:rsidRPr="003865B9">
              <w:rPr>
                <w:rFonts w:ascii="Arial" w:hAnsi="Arial" w:cs="Arial"/>
                <w:b/>
                <w:color w:val="000000"/>
                <w:sz w:val="18"/>
                <w:szCs w:val="18"/>
              </w:rPr>
              <w:t>Zoning By-law:</w:t>
            </w:r>
          </w:p>
          <w:p w:rsidR="003865B9" w:rsidRPr="004A317A" w:rsidRDefault="00A512C8" w:rsidP="004A317A">
            <w:pPr>
              <w:pStyle w:val="NormalWeb"/>
              <w:shd w:val="clear" w:color="auto" w:fill="FFFFFF"/>
              <w:spacing w:line="276" w:lineRule="auto"/>
              <w:contextualSpacing/>
              <w:rPr>
                <w:rFonts w:ascii="Arial" w:hAnsi="Arial" w:cs="Arial"/>
                <w:color w:val="000000"/>
                <w:sz w:val="18"/>
                <w:szCs w:val="18"/>
              </w:rPr>
            </w:pPr>
            <w:hyperlink r:id="rId10" w:history="1">
              <w:r w:rsidR="003865B9" w:rsidRPr="00E07686">
                <w:rPr>
                  <w:rStyle w:val="Hyperlink"/>
                  <w:sz w:val="18"/>
                  <w:szCs w:val="18"/>
                </w:rPr>
                <w:t>http://visitablehousingcanada.com/wp-content/uploads/2014/05/BC-Saanich-District-Mandatory-Building-Standard.pdf</w:t>
              </w:r>
            </w:hyperlink>
          </w:p>
        </w:tc>
      </w:tr>
      <w:tr w:rsidR="009B3E55" w:rsidTr="004A317A">
        <w:tc>
          <w:tcPr>
            <w:tcW w:w="659" w:type="dxa"/>
          </w:tcPr>
          <w:p w:rsidR="009B3E55" w:rsidRDefault="009B3E55" w:rsidP="00D07910">
            <w:pPr>
              <w:jc w:val="center"/>
            </w:pPr>
            <w:r>
              <w:t>3</w:t>
            </w:r>
          </w:p>
        </w:tc>
        <w:tc>
          <w:tcPr>
            <w:tcW w:w="8691" w:type="dxa"/>
          </w:tcPr>
          <w:p w:rsidR="009B3E55" w:rsidRDefault="009B3E55" w:rsidP="00D07910"/>
        </w:tc>
      </w:tr>
      <w:tr w:rsidR="009B3E55" w:rsidTr="004A317A">
        <w:tc>
          <w:tcPr>
            <w:tcW w:w="659" w:type="dxa"/>
          </w:tcPr>
          <w:p w:rsidR="009B3E55" w:rsidRDefault="009B3E55" w:rsidP="00D07910">
            <w:pPr>
              <w:jc w:val="center"/>
            </w:pPr>
            <w:r>
              <w:t>4</w:t>
            </w:r>
          </w:p>
        </w:tc>
        <w:tc>
          <w:tcPr>
            <w:tcW w:w="8691" w:type="dxa"/>
          </w:tcPr>
          <w:p w:rsidR="009B3E55" w:rsidRDefault="009B3E55" w:rsidP="00D07910"/>
        </w:tc>
      </w:tr>
      <w:tr w:rsidR="009B3E55" w:rsidTr="004A317A">
        <w:tc>
          <w:tcPr>
            <w:tcW w:w="659" w:type="dxa"/>
          </w:tcPr>
          <w:p w:rsidR="009B3E55" w:rsidRDefault="009B3E55" w:rsidP="00D07910">
            <w:pPr>
              <w:jc w:val="center"/>
            </w:pPr>
            <w:r>
              <w:t>…</w:t>
            </w:r>
          </w:p>
        </w:tc>
        <w:tc>
          <w:tcPr>
            <w:tcW w:w="8691" w:type="dxa"/>
          </w:tcPr>
          <w:p w:rsidR="009B3E55" w:rsidRDefault="009B3E55" w:rsidP="00D07910"/>
        </w:tc>
      </w:tr>
    </w:tbl>
    <w:p w:rsidR="009B3E55" w:rsidRDefault="009B3E55" w:rsidP="009B3E55"/>
    <w:p w:rsidR="009B3E55" w:rsidRDefault="009B3E55"/>
    <w:p w:rsidR="00566BFA" w:rsidRDefault="00566BFA"/>
    <w:p w:rsidR="00566BFA" w:rsidRDefault="00566BFA"/>
    <w:p w:rsidR="00566BFA" w:rsidRDefault="00566BFA"/>
    <w:p w:rsidR="00566BFA" w:rsidRDefault="00566BFA"/>
    <w:p w:rsidR="00566BFA" w:rsidRDefault="00566BFA"/>
    <w:p w:rsidR="00566BFA" w:rsidRDefault="00566BFA"/>
    <w:p w:rsidR="00566BFA" w:rsidRDefault="00566BFA"/>
    <w:p w:rsidR="00566BFA" w:rsidRDefault="00566BFA"/>
    <w:p w:rsidR="00566BFA" w:rsidRDefault="00566BFA"/>
    <w:p w:rsidR="009B3E55" w:rsidRDefault="009B3E55" w:rsidP="009B3E55"/>
    <w:tbl>
      <w:tblPr>
        <w:tblStyle w:val="TableGrid"/>
        <w:tblW w:w="0" w:type="auto"/>
        <w:tblLook w:val="04A0" w:firstRow="1" w:lastRow="0" w:firstColumn="1" w:lastColumn="0" w:noHBand="0" w:noVBand="1"/>
      </w:tblPr>
      <w:tblGrid>
        <w:gridCol w:w="637"/>
        <w:gridCol w:w="8939"/>
      </w:tblGrid>
      <w:tr w:rsidR="009B3E55" w:rsidTr="009B3E55">
        <w:tc>
          <w:tcPr>
            <w:tcW w:w="704" w:type="dxa"/>
            <w:shd w:val="clear" w:color="auto" w:fill="F7CAAC" w:themeFill="accent2" w:themeFillTint="66"/>
          </w:tcPr>
          <w:p w:rsidR="009B3E55" w:rsidRDefault="009B3E55" w:rsidP="00D07910">
            <w:pPr>
              <w:jc w:val="center"/>
            </w:pPr>
          </w:p>
        </w:tc>
        <w:tc>
          <w:tcPr>
            <w:tcW w:w="10086" w:type="dxa"/>
            <w:shd w:val="clear" w:color="auto" w:fill="F7CAAC" w:themeFill="accent2" w:themeFillTint="66"/>
          </w:tcPr>
          <w:p w:rsidR="009B3E55" w:rsidRPr="002F574C" w:rsidRDefault="009B3E55" w:rsidP="002F574C">
            <w:pPr>
              <w:spacing w:line="276" w:lineRule="auto"/>
              <w:rPr>
                <w:b/>
                <w:sz w:val="28"/>
                <w:szCs w:val="28"/>
              </w:rPr>
            </w:pPr>
            <w:r w:rsidRPr="002F574C">
              <w:rPr>
                <w:b/>
                <w:sz w:val="28"/>
                <w:szCs w:val="28"/>
              </w:rPr>
              <w:t>Publications and Resources</w:t>
            </w:r>
          </w:p>
          <w:p w:rsidR="00B952BF" w:rsidRDefault="00B952BF" w:rsidP="00B952BF">
            <w:pPr>
              <w:rPr>
                <w:sz w:val="20"/>
                <w:szCs w:val="20"/>
              </w:rPr>
            </w:pPr>
            <w:r>
              <w:rPr>
                <w:sz w:val="20"/>
                <w:szCs w:val="20"/>
              </w:rPr>
              <w:t>Publications and resources that contain information about VisitAble Housing</w:t>
            </w:r>
            <w:r w:rsidR="000720DB">
              <w:rPr>
                <w:sz w:val="20"/>
                <w:szCs w:val="20"/>
              </w:rPr>
              <w:t xml:space="preserve">. </w:t>
            </w:r>
            <w:r w:rsidR="000720DB" w:rsidRPr="000720DB">
              <w:rPr>
                <w:b/>
                <w:i/>
                <w:color w:val="FF0000"/>
                <w:sz w:val="20"/>
                <w:szCs w:val="20"/>
              </w:rPr>
              <w:t>If electronic copies are available, provide the link or where to obtain the resource.</w:t>
            </w:r>
            <w:r w:rsidRPr="000720DB">
              <w:rPr>
                <w:b/>
                <w:i/>
                <w:color w:val="FF0000"/>
                <w:sz w:val="20"/>
                <w:szCs w:val="20"/>
              </w:rPr>
              <w:t xml:space="preserve"> </w:t>
            </w:r>
          </w:p>
          <w:p w:rsidR="009B3E55" w:rsidRPr="002F574C" w:rsidRDefault="00B952BF" w:rsidP="00B952BF">
            <w:pPr>
              <w:rPr>
                <w:sz w:val="20"/>
                <w:szCs w:val="20"/>
              </w:rPr>
            </w:pPr>
            <w:r>
              <w:rPr>
                <w:sz w:val="20"/>
                <w:szCs w:val="20"/>
              </w:rPr>
              <w:t>(e.g. books, handbooks, guides, checklists, news articles, articles in newsletters and magazines)</w:t>
            </w:r>
          </w:p>
        </w:tc>
      </w:tr>
      <w:tr w:rsidR="009B3E55" w:rsidTr="00D07910">
        <w:tc>
          <w:tcPr>
            <w:tcW w:w="704" w:type="dxa"/>
          </w:tcPr>
          <w:p w:rsidR="009B3E55" w:rsidRDefault="009B3E55" w:rsidP="00D07910">
            <w:pPr>
              <w:jc w:val="center"/>
            </w:pPr>
            <w:r>
              <w:t>1</w:t>
            </w:r>
          </w:p>
        </w:tc>
        <w:tc>
          <w:tcPr>
            <w:tcW w:w="10086" w:type="dxa"/>
          </w:tcPr>
          <w:p w:rsidR="002C0174" w:rsidRPr="002C0174" w:rsidRDefault="002C0174" w:rsidP="002C0174">
            <w:pPr>
              <w:pStyle w:val="NormalWeb"/>
              <w:shd w:val="clear" w:color="auto" w:fill="FFFFFF"/>
              <w:spacing w:before="0" w:beforeAutospacing="0" w:after="0" w:afterAutospacing="0" w:line="276" w:lineRule="auto"/>
              <w:contextualSpacing/>
              <w:rPr>
                <w:rStyle w:val="Strong"/>
                <w:rFonts w:ascii="Arial" w:hAnsi="Arial" w:cs="Arial"/>
                <w:color w:val="000000"/>
                <w:sz w:val="18"/>
                <w:szCs w:val="18"/>
              </w:rPr>
            </w:pPr>
            <w:r w:rsidRPr="002C0174">
              <w:rPr>
                <w:rStyle w:val="Strong"/>
                <w:rFonts w:ascii="Arial" w:hAnsi="Arial" w:cs="Arial"/>
                <w:color w:val="000000"/>
                <w:sz w:val="18"/>
                <w:szCs w:val="18"/>
              </w:rPr>
              <w:t>Vancouver VisitAbility Policy Presentation</w:t>
            </w:r>
          </w:p>
          <w:p w:rsidR="009B3E55" w:rsidRPr="002C0174" w:rsidRDefault="00A512C8" w:rsidP="002C0174">
            <w:pPr>
              <w:pStyle w:val="NormalWeb"/>
              <w:shd w:val="clear" w:color="auto" w:fill="FFFFFF"/>
              <w:spacing w:before="0" w:beforeAutospacing="0" w:after="0" w:afterAutospacing="0" w:line="276" w:lineRule="auto"/>
              <w:contextualSpacing/>
              <w:rPr>
                <w:rFonts w:ascii="Arial" w:hAnsi="Arial" w:cs="Arial"/>
                <w:color w:val="000000"/>
                <w:sz w:val="20"/>
                <w:szCs w:val="20"/>
              </w:rPr>
            </w:pPr>
            <w:hyperlink r:id="rId11" w:history="1">
              <w:r w:rsidR="002C0174" w:rsidRPr="002C0174">
                <w:rPr>
                  <w:rStyle w:val="Hyperlink"/>
                  <w:rFonts w:ascii="Arial" w:hAnsi="Arial" w:cs="Arial"/>
                  <w:sz w:val="18"/>
                  <w:szCs w:val="18"/>
                </w:rPr>
                <w:t>http://visitablehousingcanada.com/wp-content/uploads/2014/10/Vancouver-VisitAble-Housing-Policy.pdf</w:t>
              </w:r>
            </w:hyperlink>
            <w:r w:rsidR="002C0174">
              <w:rPr>
                <w:rFonts w:ascii="Arial" w:hAnsi="Arial" w:cs="Arial"/>
                <w:color w:val="000000"/>
                <w:sz w:val="20"/>
                <w:szCs w:val="20"/>
              </w:rPr>
              <w:t xml:space="preserve"> </w:t>
            </w:r>
          </w:p>
        </w:tc>
      </w:tr>
      <w:tr w:rsidR="009B3E55" w:rsidTr="00D07910">
        <w:tc>
          <w:tcPr>
            <w:tcW w:w="704" w:type="dxa"/>
          </w:tcPr>
          <w:p w:rsidR="009B3E55" w:rsidRDefault="009B3E55" w:rsidP="00D07910">
            <w:pPr>
              <w:jc w:val="center"/>
            </w:pPr>
            <w:r>
              <w:t>2</w:t>
            </w:r>
          </w:p>
        </w:tc>
        <w:tc>
          <w:tcPr>
            <w:tcW w:w="10086" w:type="dxa"/>
          </w:tcPr>
          <w:p w:rsidR="003865B9" w:rsidRDefault="000720DB" w:rsidP="00D07910">
            <w:pPr>
              <w:rPr>
                <w:sz w:val="18"/>
                <w:szCs w:val="18"/>
              </w:rPr>
            </w:pPr>
            <w:r>
              <w:rPr>
                <w:rStyle w:val="Strong"/>
                <w:color w:val="000000"/>
                <w:sz w:val="20"/>
                <w:szCs w:val="20"/>
                <w:shd w:val="clear" w:color="auto" w:fill="FFFFFF"/>
              </w:rPr>
              <w:t>Prince George Visitable Housing Project Summary Report</w:t>
            </w:r>
          </w:p>
          <w:p w:rsidR="000720DB" w:rsidRPr="003865B9" w:rsidRDefault="00A512C8" w:rsidP="00D07910">
            <w:pPr>
              <w:rPr>
                <w:sz w:val="18"/>
                <w:szCs w:val="18"/>
              </w:rPr>
            </w:pPr>
            <w:hyperlink r:id="rId12" w:history="1">
              <w:r w:rsidR="000720DB" w:rsidRPr="00E07686">
                <w:rPr>
                  <w:rStyle w:val="Hyperlink"/>
                  <w:sz w:val="18"/>
                  <w:szCs w:val="18"/>
                </w:rPr>
                <w:t>http://visitablehousingcanada.com/wp-content/uploads/2014/05/Visitable_Housing_Summary_report1.pdf</w:t>
              </w:r>
            </w:hyperlink>
            <w:r w:rsidR="000720DB">
              <w:rPr>
                <w:sz w:val="18"/>
                <w:szCs w:val="18"/>
              </w:rPr>
              <w:t xml:space="preserve"> </w:t>
            </w:r>
          </w:p>
        </w:tc>
      </w:tr>
      <w:tr w:rsidR="009B3E55" w:rsidTr="00D07910">
        <w:tc>
          <w:tcPr>
            <w:tcW w:w="704" w:type="dxa"/>
          </w:tcPr>
          <w:p w:rsidR="009B3E55" w:rsidRDefault="009B3E55" w:rsidP="00D07910">
            <w:pPr>
              <w:jc w:val="center"/>
            </w:pPr>
            <w:r>
              <w:t>3</w:t>
            </w:r>
          </w:p>
        </w:tc>
        <w:tc>
          <w:tcPr>
            <w:tcW w:w="10086" w:type="dxa"/>
          </w:tcPr>
          <w:p w:rsidR="003865B9" w:rsidRPr="003865B9" w:rsidRDefault="003865B9" w:rsidP="00D07910">
            <w:pPr>
              <w:rPr>
                <w:sz w:val="18"/>
                <w:szCs w:val="18"/>
              </w:rPr>
            </w:pPr>
          </w:p>
        </w:tc>
      </w:tr>
      <w:tr w:rsidR="009B3E55" w:rsidTr="00D07910">
        <w:tc>
          <w:tcPr>
            <w:tcW w:w="704" w:type="dxa"/>
          </w:tcPr>
          <w:p w:rsidR="009B3E55" w:rsidRDefault="009B3E55" w:rsidP="00D07910">
            <w:pPr>
              <w:jc w:val="center"/>
            </w:pPr>
            <w:r>
              <w:t>4</w:t>
            </w:r>
          </w:p>
        </w:tc>
        <w:tc>
          <w:tcPr>
            <w:tcW w:w="10086" w:type="dxa"/>
          </w:tcPr>
          <w:p w:rsidR="009B3E55" w:rsidRPr="003865B9" w:rsidRDefault="009B3E55" w:rsidP="00D07910">
            <w:pPr>
              <w:rPr>
                <w:sz w:val="18"/>
                <w:szCs w:val="18"/>
              </w:rPr>
            </w:pPr>
          </w:p>
        </w:tc>
      </w:tr>
      <w:tr w:rsidR="009B3E55" w:rsidTr="00D07910">
        <w:tc>
          <w:tcPr>
            <w:tcW w:w="704" w:type="dxa"/>
          </w:tcPr>
          <w:p w:rsidR="009B3E55" w:rsidRDefault="009B3E55" w:rsidP="00D07910">
            <w:pPr>
              <w:jc w:val="center"/>
            </w:pPr>
            <w:r>
              <w:t>…</w:t>
            </w:r>
          </w:p>
        </w:tc>
        <w:tc>
          <w:tcPr>
            <w:tcW w:w="10086" w:type="dxa"/>
          </w:tcPr>
          <w:p w:rsidR="009B3E55" w:rsidRDefault="009B3E55" w:rsidP="00D07910"/>
        </w:tc>
      </w:tr>
    </w:tbl>
    <w:p w:rsidR="009B3E55" w:rsidRDefault="009B3E55" w:rsidP="009B3E55"/>
    <w:p w:rsidR="009B3E55" w:rsidRDefault="009B3E55"/>
    <w:p w:rsidR="009B3E55" w:rsidRDefault="009B3E55" w:rsidP="009B3E55"/>
    <w:tbl>
      <w:tblPr>
        <w:tblStyle w:val="TableGrid"/>
        <w:tblW w:w="0" w:type="auto"/>
        <w:tblLook w:val="04A0" w:firstRow="1" w:lastRow="0" w:firstColumn="1" w:lastColumn="0" w:noHBand="0" w:noVBand="1"/>
      </w:tblPr>
      <w:tblGrid>
        <w:gridCol w:w="667"/>
        <w:gridCol w:w="8909"/>
      </w:tblGrid>
      <w:tr w:rsidR="00FD5327" w:rsidTr="009B3E55">
        <w:tc>
          <w:tcPr>
            <w:tcW w:w="704" w:type="dxa"/>
            <w:shd w:val="clear" w:color="auto" w:fill="E0C1FF"/>
          </w:tcPr>
          <w:p w:rsidR="009B3E55" w:rsidRDefault="009B3E55" w:rsidP="00D07910">
            <w:pPr>
              <w:jc w:val="center"/>
            </w:pPr>
          </w:p>
        </w:tc>
        <w:tc>
          <w:tcPr>
            <w:tcW w:w="10086" w:type="dxa"/>
            <w:shd w:val="clear" w:color="auto" w:fill="E0C1FF"/>
          </w:tcPr>
          <w:p w:rsidR="009B3E55" w:rsidRPr="002F574C" w:rsidRDefault="009B3E55" w:rsidP="002F574C">
            <w:pPr>
              <w:spacing w:line="276" w:lineRule="auto"/>
              <w:rPr>
                <w:b/>
                <w:sz w:val="28"/>
                <w:szCs w:val="28"/>
              </w:rPr>
            </w:pPr>
            <w:r w:rsidRPr="002F574C">
              <w:rPr>
                <w:b/>
                <w:sz w:val="28"/>
                <w:szCs w:val="28"/>
              </w:rPr>
              <w:t>Websites &amp; Social Media</w:t>
            </w:r>
          </w:p>
          <w:p w:rsidR="009B3E55" w:rsidRDefault="00B952BF" w:rsidP="00B952BF">
            <w:pPr>
              <w:rPr>
                <w:sz w:val="20"/>
                <w:szCs w:val="20"/>
              </w:rPr>
            </w:pPr>
            <w:r>
              <w:rPr>
                <w:sz w:val="20"/>
                <w:szCs w:val="20"/>
              </w:rPr>
              <w:t>Websites, social media, and/or other online resources that contain information about VisitAble Housing</w:t>
            </w:r>
            <w:r w:rsidR="000720DB">
              <w:rPr>
                <w:sz w:val="20"/>
                <w:szCs w:val="20"/>
              </w:rPr>
              <w:t xml:space="preserve">. </w:t>
            </w:r>
            <w:r w:rsidR="000720DB" w:rsidRPr="000720DB">
              <w:rPr>
                <w:b/>
                <w:i/>
                <w:color w:val="FF0000"/>
                <w:sz w:val="20"/>
                <w:szCs w:val="20"/>
              </w:rPr>
              <w:t xml:space="preserve">If </w:t>
            </w:r>
            <w:r w:rsidR="006045FA">
              <w:rPr>
                <w:b/>
                <w:i/>
                <w:color w:val="FF0000"/>
                <w:sz w:val="20"/>
                <w:szCs w:val="20"/>
              </w:rPr>
              <w:t>available</w:t>
            </w:r>
            <w:r w:rsidR="000720DB" w:rsidRPr="000720DB">
              <w:rPr>
                <w:b/>
                <w:i/>
                <w:color w:val="FF0000"/>
                <w:sz w:val="20"/>
                <w:szCs w:val="20"/>
              </w:rPr>
              <w:t>, provide the link</w:t>
            </w:r>
            <w:r w:rsidR="006045FA">
              <w:rPr>
                <w:b/>
                <w:i/>
                <w:color w:val="FF0000"/>
                <w:sz w:val="20"/>
                <w:szCs w:val="20"/>
              </w:rPr>
              <w:t xml:space="preserve"> or web address</w:t>
            </w:r>
            <w:r w:rsidR="000720DB" w:rsidRPr="000720DB">
              <w:rPr>
                <w:b/>
                <w:i/>
                <w:color w:val="FF0000"/>
                <w:sz w:val="20"/>
                <w:szCs w:val="20"/>
              </w:rPr>
              <w:t>.</w:t>
            </w:r>
          </w:p>
          <w:p w:rsidR="00FD5327" w:rsidRPr="002F574C" w:rsidRDefault="00FD5327" w:rsidP="00B952BF">
            <w:pPr>
              <w:rPr>
                <w:sz w:val="20"/>
                <w:szCs w:val="20"/>
              </w:rPr>
            </w:pPr>
            <w:r>
              <w:rPr>
                <w:sz w:val="20"/>
                <w:szCs w:val="20"/>
              </w:rPr>
              <w:t>(e.g. website of an organization, Facebook, Tweeter, online magazine, online newsletter)</w:t>
            </w:r>
          </w:p>
        </w:tc>
      </w:tr>
      <w:tr w:rsidR="009B3E55" w:rsidTr="00D07910">
        <w:tc>
          <w:tcPr>
            <w:tcW w:w="704" w:type="dxa"/>
          </w:tcPr>
          <w:p w:rsidR="009B3E55" w:rsidRDefault="009B3E55" w:rsidP="00D07910">
            <w:pPr>
              <w:jc w:val="center"/>
            </w:pPr>
            <w:r>
              <w:t>1</w:t>
            </w:r>
          </w:p>
        </w:tc>
        <w:tc>
          <w:tcPr>
            <w:tcW w:w="10086" w:type="dxa"/>
          </w:tcPr>
          <w:p w:rsidR="009B3E55" w:rsidRDefault="009B3E55" w:rsidP="00D07910"/>
        </w:tc>
      </w:tr>
      <w:tr w:rsidR="009B3E55" w:rsidTr="00D07910">
        <w:tc>
          <w:tcPr>
            <w:tcW w:w="704" w:type="dxa"/>
          </w:tcPr>
          <w:p w:rsidR="009B3E55" w:rsidRDefault="009B3E55" w:rsidP="00D07910">
            <w:pPr>
              <w:jc w:val="center"/>
            </w:pPr>
            <w:r>
              <w:t>2</w:t>
            </w:r>
          </w:p>
        </w:tc>
        <w:tc>
          <w:tcPr>
            <w:tcW w:w="10086" w:type="dxa"/>
          </w:tcPr>
          <w:p w:rsidR="009B3E55" w:rsidRDefault="009B3E55" w:rsidP="00D07910"/>
        </w:tc>
      </w:tr>
      <w:tr w:rsidR="009B3E55" w:rsidTr="00D07910">
        <w:tc>
          <w:tcPr>
            <w:tcW w:w="704" w:type="dxa"/>
          </w:tcPr>
          <w:p w:rsidR="009B3E55" w:rsidRDefault="009B3E55" w:rsidP="00D07910">
            <w:pPr>
              <w:jc w:val="center"/>
            </w:pPr>
            <w:r>
              <w:t>3</w:t>
            </w:r>
          </w:p>
        </w:tc>
        <w:tc>
          <w:tcPr>
            <w:tcW w:w="10086" w:type="dxa"/>
          </w:tcPr>
          <w:p w:rsidR="009B3E55" w:rsidRDefault="009B3E55" w:rsidP="00D07910"/>
        </w:tc>
      </w:tr>
      <w:tr w:rsidR="009B3E55" w:rsidTr="00D07910">
        <w:tc>
          <w:tcPr>
            <w:tcW w:w="704" w:type="dxa"/>
          </w:tcPr>
          <w:p w:rsidR="009B3E55" w:rsidRDefault="009B3E55" w:rsidP="00D07910">
            <w:pPr>
              <w:jc w:val="center"/>
            </w:pPr>
            <w:r>
              <w:t>4</w:t>
            </w:r>
          </w:p>
        </w:tc>
        <w:tc>
          <w:tcPr>
            <w:tcW w:w="10086" w:type="dxa"/>
          </w:tcPr>
          <w:p w:rsidR="009B3E55" w:rsidRDefault="009B3E55" w:rsidP="00D07910"/>
        </w:tc>
      </w:tr>
      <w:tr w:rsidR="009B3E55" w:rsidTr="00D07910">
        <w:tc>
          <w:tcPr>
            <w:tcW w:w="704" w:type="dxa"/>
          </w:tcPr>
          <w:p w:rsidR="009B3E55" w:rsidRDefault="009B3E55" w:rsidP="00D07910">
            <w:pPr>
              <w:jc w:val="center"/>
            </w:pPr>
            <w:r>
              <w:t>…</w:t>
            </w:r>
          </w:p>
        </w:tc>
        <w:tc>
          <w:tcPr>
            <w:tcW w:w="10086" w:type="dxa"/>
          </w:tcPr>
          <w:p w:rsidR="009B3E55" w:rsidRDefault="009B3E55" w:rsidP="00D07910"/>
        </w:tc>
      </w:tr>
    </w:tbl>
    <w:p w:rsidR="009B3E55" w:rsidRDefault="009B3E55" w:rsidP="009B3E55"/>
    <w:p w:rsidR="009B3E55" w:rsidRDefault="009B3E55"/>
    <w:p w:rsidR="00566BFA" w:rsidRDefault="00566BFA"/>
    <w:p w:rsidR="00566BFA" w:rsidRDefault="00566BFA"/>
    <w:p w:rsidR="00566BFA" w:rsidRDefault="00566BFA"/>
    <w:p w:rsidR="00566BFA" w:rsidRDefault="00566BFA"/>
    <w:p w:rsidR="009B3E55" w:rsidRDefault="009B3E55" w:rsidP="009B3E55"/>
    <w:tbl>
      <w:tblPr>
        <w:tblStyle w:val="TableGrid"/>
        <w:tblW w:w="0" w:type="auto"/>
        <w:tblLook w:val="04A0" w:firstRow="1" w:lastRow="0" w:firstColumn="1" w:lastColumn="0" w:noHBand="0" w:noVBand="1"/>
      </w:tblPr>
      <w:tblGrid>
        <w:gridCol w:w="669"/>
        <w:gridCol w:w="8907"/>
      </w:tblGrid>
      <w:tr w:rsidR="00FD5327" w:rsidTr="009B3E55">
        <w:tc>
          <w:tcPr>
            <w:tcW w:w="704" w:type="dxa"/>
            <w:shd w:val="clear" w:color="auto" w:fill="ACB9CA" w:themeFill="text2" w:themeFillTint="66"/>
          </w:tcPr>
          <w:p w:rsidR="009B3E55" w:rsidRDefault="009B3E55" w:rsidP="00D07910">
            <w:pPr>
              <w:jc w:val="center"/>
            </w:pPr>
          </w:p>
        </w:tc>
        <w:tc>
          <w:tcPr>
            <w:tcW w:w="10086" w:type="dxa"/>
            <w:shd w:val="clear" w:color="auto" w:fill="ACB9CA" w:themeFill="text2" w:themeFillTint="66"/>
          </w:tcPr>
          <w:p w:rsidR="009B3E55" w:rsidRPr="002F574C" w:rsidRDefault="009B3E55" w:rsidP="002F574C">
            <w:pPr>
              <w:spacing w:line="276" w:lineRule="auto"/>
              <w:rPr>
                <w:b/>
                <w:sz w:val="28"/>
                <w:szCs w:val="28"/>
              </w:rPr>
            </w:pPr>
            <w:r w:rsidRPr="002F574C">
              <w:rPr>
                <w:b/>
                <w:sz w:val="28"/>
                <w:szCs w:val="28"/>
              </w:rPr>
              <w:t>Others</w:t>
            </w:r>
          </w:p>
          <w:p w:rsidR="00FD5327" w:rsidRPr="002F574C" w:rsidRDefault="00FD5327" w:rsidP="00FD5327">
            <w:pPr>
              <w:rPr>
                <w:sz w:val="20"/>
                <w:szCs w:val="20"/>
              </w:rPr>
            </w:pPr>
            <w:r>
              <w:rPr>
                <w:sz w:val="20"/>
                <w:szCs w:val="20"/>
              </w:rPr>
              <w:t xml:space="preserve">Any other resources related to VisitAble Housing </w:t>
            </w:r>
          </w:p>
        </w:tc>
      </w:tr>
      <w:tr w:rsidR="009B3E55" w:rsidTr="00D07910">
        <w:tc>
          <w:tcPr>
            <w:tcW w:w="704" w:type="dxa"/>
          </w:tcPr>
          <w:p w:rsidR="009B3E55" w:rsidRDefault="009B3E55" w:rsidP="00D07910">
            <w:pPr>
              <w:jc w:val="center"/>
            </w:pPr>
            <w:r>
              <w:t>1</w:t>
            </w:r>
          </w:p>
        </w:tc>
        <w:tc>
          <w:tcPr>
            <w:tcW w:w="10086" w:type="dxa"/>
          </w:tcPr>
          <w:p w:rsidR="009B3E55" w:rsidRDefault="009B3E55" w:rsidP="00D07910"/>
        </w:tc>
      </w:tr>
      <w:tr w:rsidR="009B3E55" w:rsidTr="00D07910">
        <w:tc>
          <w:tcPr>
            <w:tcW w:w="704" w:type="dxa"/>
          </w:tcPr>
          <w:p w:rsidR="009B3E55" w:rsidRDefault="009B3E55" w:rsidP="00D07910">
            <w:pPr>
              <w:jc w:val="center"/>
            </w:pPr>
            <w:r>
              <w:t>2</w:t>
            </w:r>
          </w:p>
        </w:tc>
        <w:tc>
          <w:tcPr>
            <w:tcW w:w="10086" w:type="dxa"/>
          </w:tcPr>
          <w:p w:rsidR="009B3E55" w:rsidRDefault="009B3E55" w:rsidP="00D07910"/>
        </w:tc>
      </w:tr>
      <w:tr w:rsidR="009B3E55" w:rsidTr="00D07910">
        <w:tc>
          <w:tcPr>
            <w:tcW w:w="704" w:type="dxa"/>
          </w:tcPr>
          <w:p w:rsidR="009B3E55" w:rsidRDefault="009B3E55" w:rsidP="00D07910">
            <w:pPr>
              <w:jc w:val="center"/>
            </w:pPr>
            <w:r>
              <w:t>3</w:t>
            </w:r>
          </w:p>
        </w:tc>
        <w:tc>
          <w:tcPr>
            <w:tcW w:w="10086" w:type="dxa"/>
          </w:tcPr>
          <w:p w:rsidR="009B3E55" w:rsidRDefault="009B3E55" w:rsidP="00D07910"/>
        </w:tc>
      </w:tr>
      <w:tr w:rsidR="009B3E55" w:rsidTr="00D07910">
        <w:tc>
          <w:tcPr>
            <w:tcW w:w="704" w:type="dxa"/>
          </w:tcPr>
          <w:p w:rsidR="009B3E55" w:rsidRDefault="009B3E55" w:rsidP="00D07910">
            <w:pPr>
              <w:jc w:val="center"/>
            </w:pPr>
            <w:r>
              <w:t>4</w:t>
            </w:r>
          </w:p>
        </w:tc>
        <w:tc>
          <w:tcPr>
            <w:tcW w:w="10086" w:type="dxa"/>
          </w:tcPr>
          <w:p w:rsidR="009B3E55" w:rsidRDefault="009B3E55" w:rsidP="00D07910"/>
        </w:tc>
      </w:tr>
      <w:tr w:rsidR="009B3E55" w:rsidTr="00D07910">
        <w:tc>
          <w:tcPr>
            <w:tcW w:w="704" w:type="dxa"/>
          </w:tcPr>
          <w:p w:rsidR="009B3E55" w:rsidRDefault="009B3E55" w:rsidP="00D07910">
            <w:pPr>
              <w:jc w:val="center"/>
            </w:pPr>
            <w:r>
              <w:t>…</w:t>
            </w:r>
          </w:p>
        </w:tc>
        <w:tc>
          <w:tcPr>
            <w:tcW w:w="10086" w:type="dxa"/>
          </w:tcPr>
          <w:p w:rsidR="009B3E55" w:rsidRDefault="009B3E55" w:rsidP="00D07910"/>
        </w:tc>
      </w:tr>
    </w:tbl>
    <w:p w:rsidR="009B3E55" w:rsidRDefault="009B3E55" w:rsidP="009B3E55"/>
    <w:p w:rsidR="009B3E55" w:rsidRDefault="009B3E55"/>
    <w:sectPr w:rsidR="009B3E55" w:rsidSect="00503C5F">
      <w:headerReference w:type="default" r:id="rId13"/>
      <w:footerReference w:type="default" r:id="rId14"/>
      <w:pgSz w:w="12240" w:h="15840"/>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C8" w:rsidRDefault="00A512C8" w:rsidP="00264BF4">
      <w:pPr>
        <w:spacing w:line="240" w:lineRule="auto"/>
      </w:pPr>
      <w:r>
        <w:separator/>
      </w:r>
    </w:p>
  </w:endnote>
  <w:endnote w:type="continuationSeparator" w:id="0">
    <w:p w:rsidR="00A512C8" w:rsidRDefault="00A512C8" w:rsidP="00264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45523"/>
      <w:docPartObj>
        <w:docPartGallery w:val="Page Numbers (Bottom of Page)"/>
        <w:docPartUnique/>
      </w:docPartObj>
    </w:sdtPr>
    <w:sdtEndPr>
      <w:rPr>
        <w:noProof/>
        <w:sz w:val="18"/>
        <w:szCs w:val="18"/>
      </w:rPr>
    </w:sdtEndPr>
    <w:sdtContent>
      <w:p w:rsidR="00503C5F" w:rsidRPr="00503C5F" w:rsidRDefault="00503C5F">
        <w:pPr>
          <w:pStyle w:val="Footer"/>
          <w:jc w:val="right"/>
          <w:rPr>
            <w:sz w:val="18"/>
            <w:szCs w:val="18"/>
          </w:rPr>
        </w:pPr>
        <w:r w:rsidRPr="00503C5F">
          <w:rPr>
            <w:sz w:val="18"/>
            <w:szCs w:val="18"/>
          </w:rPr>
          <w:fldChar w:fldCharType="begin"/>
        </w:r>
        <w:r w:rsidRPr="00503C5F">
          <w:rPr>
            <w:sz w:val="18"/>
            <w:szCs w:val="18"/>
          </w:rPr>
          <w:instrText xml:space="preserve"> PAGE   \* MERGEFORMAT </w:instrText>
        </w:r>
        <w:r w:rsidRPr="00503C5F">
          <w:rPr>
            <w:sz w:val="18"/>
            <w:szCs w:val="18"/>
          </w:rPr>
          <w:fldChar w:fldCharType="separate"/>
        </w:r>
        <w:r w:rsidR="00AD0847">
          <w:rPr>
            <w:noProof/>
            <w:sz w:val="18"/>
            <w:szCs w:val="18"/>
          </w:rPr>
          <w:t>1</w:t>
        </w:r>
        <w:r w:rsidRPr="00503C5F">
          <w:rPr>
            <w:noProof/>
            <w:sz w:val="18"/>
            <w:szCs w:val="18"/>
          </w:rPr>
          <w:fldChar w:fldCharType="end"/>
        </w:r>
      </w:p>
    </w:sdtContent>
  </w:sdt>
  <w:p w:rsidR="00503C5F" w:rsidRDefault="00503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C8" w:rsidRDefault="00A512C8" w:rsidP="00264BF4">
      <w:pPr>
        <w:spacing w:line="240" w:lineRule="auto"/>
      </w:pPr>
      <w:r>
        <w:separator/>
      </w:r>
    </w:p>
  </w:footnote>
  <w:footnote w:type="continuationSeparator" w:id="0">
    <w:p w:rsidR="00A512C8" w:rsidRDefault="00A512C8" w:rsidP="00264B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F4" w:rsidRPr="00657CC3" w:rsidRDefault="00657CC3" w:rsidP="00657CC3">
    <w:pPr>
      <w:pStyle w:val="Header"/>
      <w:tabs>
        <w:tab w:val="left" w:pos="4440"/>
        <w:tab w:val="right" w:pos="10800"/>
      </w:tabs>
      <w:spacing w:line="276" w:lineRule="auto"/>
      <w:jc w:val="right"/>
      <w:rPr>
        <w:b/>
        <w:color w:val="A6A6A6" w:themeColor="background1" w:themeShade="A6"/>
        <w:sz w:val="20"/>
        <w:szCs w:val="20"/>
      </w:rPr>
    </w:pPr>
    <w:r w:rsidRPr="00657CC3">
      <w:rPr>
        <w:b/>
        <w:color w:val="A6A6A6" w:themeColor="background1" w:themeShade="A6"/>
        <w:sz w:val="20"/>
        <w:szCs w:val="20"/>
      </w:rPr>
      <w:t xml:space="preserve">BC </w:t>
    </w:r>
    <w:r w:rsidR="00264BF4" w:rsidRPr="00657CC3">
      <w:rPr>
        <w:b/>
        <w:color w:val="A6A6A6" w:themeColor="background1" w:themeShade="A6"/>
        <w:sz w:val="20"/>
        <w:szCs w:val="20"/>
      </w:rPr>
      <w:t>VisitAble Housing Provincial Resource List</w:t>
    </w:r>
  </w:p>
  <w:p w:rsidR="00264BF4" w:rsidRPr="00657CC3" w:rsidRDefault="00264BF4" w:rsidP="00C3396E">
    <w:pPr>
      <w:pStyle w:val="Header"/>
      <w:jc w:val="right"/>
      <w:rPr>
        <w:sz w:val="18"/>
        <w:szCs w:val="18"/>
      </w:rPr>
    </w:pPr>
    <w:r w:rsidRPr="00657CC3">
      <w:rPr>
        <w:color w:val="A6A6A6" w:themeColor="background1" w:themeShade="A6"/>
        <w:sz w:val="18"/>
        <w:szCs w:val="18"/>
      </w:rPr>
      <w:t xml:space="preserve">Please send the updates to </w:t>
    </w:r>
    <w:r w:rsidR="00C3396E" w:rsidRPr="00657CC3">
      <w:rPr>
        <w:color w:val="A6A6A6" w:themeColor="background1" w:themeShade="A6"/>
        <w:sz w:val="18"/>
        <w:szCs w:val="18"/>
      </w:rPr>
      <w:t xml:space="preserve">Youn-Young </w:t>
    </w:r>
    <w:r w:rsidRPr="00657CC3">
      <w:rPr>
        <w:color w:val="A6A6A6" w:themeColor="background1" w:themeShade="A6"/>
        <w:sz w:val="18"/>
        <w:szCs w:val="18"/>
      </w:rPr>
      <w:t xml:space="preserve">Park at </w:t>
    </w:r>
    <w:hyperlink r:id="rId1" w:history="1">
      <w:r w:rsidRPr="00657CC3">
        <w:rPr>
          <w:rStyle w:val="Hyperlink"/>
          <w:sz w:val="18"/>
          <w:szCs w:val="18"/>
        </w:rPr>
        <w:t>ypark@disabilitystudies.ca</w:t>
      </w:r>
    </w:hyperlink>
    <w:r w:rsidRPr="00657CC3">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26"/>
    <w:rsid w:val="00001026"/>
    <w:rsid w:val="00013856"/>
    <w:rsid w:val="000720DB"/>
    <w:rsid w:val="000D16A0"/>
    <w:rsid w:val="001B2740"/>
    <w:rsid w:val="00264BF4"/>
    <w:rsid w:val="002C0174"/>
    <w:rsid w:val="002F574C"/>
    <w:rsid w:val="003607A7"/>
    <w:rsid w:val="003865B9"/>
    <w:rsid w:val="004A317A"/>
    <w:rsid w:val="00503C5F"/>
    <w:rsid w:val="005366B7"/>
    <w:rsid w:val="00566BFA"/>
    <w:rsid w:val="00593F04"/>
    <w:rsid w:val="006045FA"/>
    <w:rsid w:val="00657CC3"/>
    <w:rsid w:val="00742E39"/>
    <w:rsid w:val="009B3E55"/>
    <w:rsid w:val="009D2681"/>
    <w:rsid w:val="00A1134F"/>
    <w:rsid w:val="00A11501"/>
    <w:rsid w:val="00A512C8"/>
    <w:rsid w:val="00AA46FA"/>
    <w:rsid w:val="00AD0847"/>
    <w:rsid w:val="00AE7CB1"/>
    <w:rsid w:val="00B13D74"/>
    <w:rsid w:val="00B35110"/>
    <w:rsid w:val="00B952BF"/>
    <w:rsid w:val="00C3396E"/>
    <w:rsid w:val="00C74DAC"/>
    <w:rsid w:val="00DD5AFD"/>
    <w:rsid w:val="00E7307F"/>
    <w:rsid w:val="00E74E4F"/>
    <w:rsid w:val="00F21306"/>
    <w:rsid w:val="00F42E4A"/>
    <w:rsid w:val="00F70AB6"/>
    <w:rsid w:val="00FD5327"/>
    <w:rsid w:val="00FF57C2"/>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CA"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BF4"/>
    <w:pPr>
      <w:tabs>
        <w:tab w:val="center" w:pos="4680"/>
        <w:tab w:val="right" w:pos="9360"/>
      </w:tabs>
      <w:spacing w:line="240" w:lineRule="auto"/>
    </w:pPr>
  </w:style>
  <w:style w:type="character" w:customStyle="1" w:styleId="HeaderChar">
    <w:name w:val="Header Char"/>
    <w:basedOn w:val="DefaultParagraphFont"/>
    <w:link w:val="Header"/>
    <w:uiPriority w:val="99"/>
    <w:rsid w:val="00264BF4"/>
  </w:style>
  <w:style w:type="paragraph" w:styleId="Footer">
    <w:name w:val="footer"/>
    <w:basedOn w:val="Normal"/>
    <w:link w:val="FooterChar"/>
    <w:uiPriority w:val="99"/>
    <w:unhideWhenUsed/>
    <w:rsid w:val="00264BF4"/>
    <w:pPr>
      <w:tabs>
        <w:tab w:val="center" w:pos="4680"/>
        <w:tab w:val="right" w:pos="9360"/>
      </w:tabs>
      <w:spacing w:line="240" w:lineRule="auto"/>
    </w:pPr>
  </w:style>
  <w:style w:type="character" w:customStyle="1" w:styleId="FooterChar">
    <w:name w:val="Footer Char"/>
    <w:basedOn w:val="DefaultParagraphFont"/>
    <w:link w:val="Footer"/>
    <w:uiPriority w:val="99"/>
    <w:rsid w:val="00264BF4"/>
  </w:style>
  <w:style w:type="character" w:styleId="Hyperlink">
    <w:name w:val="Hyperlink"/>
    <w:basedOn w:val="DefaultParagraphFont"/>
    <w:uiPriority w:val="99"/>
    <w:unhideWhenUsed/>
    <w:rsid w:val="00264BF4"/>
    <w:rPr>
      <w:color w:val="0563C1" w:themeColor="hyperlink"/>
      <w:u w:val="single"/>
    </w:rPr>
  </w:style>
  <w:style w:type="table" w:styleId="TableGrid">
    <w:name w:val="Table Grid"/>
    <w:basedOn w:val="TableNormal"/>
    <w:uiPriority w:val="39"/>
    <w:rsid w:val="000138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3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F04"/>
    <w:rPr>
      <w:b/>
      <w:bCs/>
    </w:rPr>
  </w:style>
  <w:style w:type="character" w:customStyle="1" w:styleId="apple-converted-space">
    <w:name w:val="apple-converted-space"/>
    <w:basedOn w:val="DefaultParagraphFont"/>
    <w:rsid w:val="00593F04"/>
  </w:style>
  <w:style w:type="character" w:styleId="FollowedHyperlink">
    <w:name w:val="FollowedHyperlink"/>
    <w:basedOn w:val="DefaultParagraphFont"/>
    <w:uiPriority w:val="99"/>
    <w:semiHidden/>
    <w:unhideWhenUsed/>
    <w:rsid w:val="002C017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CA"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BF4"/>
    <w:pPr>
      <w:tabs>
        <w:tab w:val="center" w:pos="4680"/>
        <w:tab w:val="right" w:pos="9360"/>
      </w:tabs>
      <w:spacing w:line="240" w:lineRule="auto"/>
    </w:pPr>
  </w:style>
  <w:style w:type="character" w:customStyle="1" w:styleId="HeaderChar">
    <w:name w:val="Header Char"/>
    <w:basedOn w:val="DefaultParagraphFont"/>
    <w:link w:val="Header"/>
    <w:uiPriority w:val="99"/>
    <w:rsid w:val="00264BF4"/>
  </w:style>
  <w:style w:type="paragraph" w:styleId="Footer">
    <w:name w:val="footer"/>
    <w:basedOn w:val="Normal"/>
    <w:link w:val="FooterChar"/>
    <w:uiPriority w:val="99"/>
    <w:unhideWhenUsed/>
    <w:rsid w:val="00264BF4"/>
    <w:pPr>
      <w:tabs>
        <w:tab w:val="center" w:pos="4680"/>
        <w:tab w:val="right" w:pos="9360"/>
      </w:tabs>
      <w:spacing w:line="240" w:lineRule="auto"/>
    </w:pPr>
  </w:style>
  <w:style w:type="character" w:customStyle="1" w:styleId="FooterChar">
    <w:name w:val="Footer Char"/>
    <w:basedOn w:val="DefaultParagraphFont"/>
    <w:link w:val="Footer"/>
    <w:uiPriority w:val="99"/>
    <w:rsid w:val="00264BF4"/>
  </w:style>
  <w:style w:type="character" w:styleId="Hyperlink">
    <w:name w:val="Hyperlink"/>
    <w:basedOn w:val="DefaultParagraphFont"/>
    <w:uiPriority w:val="99"/>
    <w:unhideWhenUsed/>
    <w:rsid w:val="00264BF4"/>
    <w:rPr>
      <w:color w:val="0563C1" w:themeColor="hyperlink"/>
      <w:u w:val="single"/>
    </w:rPr>
  </w:style>
  <w:style w:type="table" w:styleId="TableGrid">
    <w:name w:val="Table Grid"/>
    <w:basedOn w:val="TableNormal"/>
    <w:uiPriority w:val="39"/>
    <w:rsid w:val="000138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3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F04"/>
    <w:rPr>
      <w:b/>
      <w:bCs/>
    </w:rPr>
  </w:style>
  <w:style w:type="character" w:customStyle="1" w:styleId="apple-converted-space">
    <w:name w:val="apple-converted-space"/>
    <w:basedOn w:val="DefaultParagraphFont"/>
    <w:rsid w:val="00593F04"/>
  </w:style>
  <w:style w:type="character" w:styleId="FollowedHyperlink">
    <w:name w:val="FollowedHyperlink"/>
    <w:basedOn w:val="DefaultParagraphFont"/>
    <w:uiPriority w:val="99"/>
    <w:semiHidden/>
    <w:unhideWhenUsed/>
    <w:rsid w:val="002C01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67340">
      <w:bodyDiv w:val="1"/>
      <w:marLeft w:val="0"/>
      <w:marRight w:val="0"/>
      <w:marTop w:val="0"/>
      <w:marBottom w:val="0"/>
      <w:divBdr>
        <w:top w:val="none" w:sz="0" w:space="0" w:color="auto"/>
        <w:left w:val="none" w:sz="0" w:space="0" w:color="auto"/>
        <w:bottom w:val="none" w:sz="0" w:space="0" w:color="auto"/>
        <w:right w:val="none" w:sz="0" w:space="0" w:color="auto"/>
      </w:divBdr>
    </w:div>
    <w:div w:id="18649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tAbleHousingCanad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park@disabilitystudies.ca" TargetMode="External"/><Relationship Id="rId12" Type="http://schemas.openxmlformats.org/officeDocument/2006/relationships/hyperlink" Target="http://visitablehousingcanada.com/wp-content/uploads/2014/05/Visitable_Housing_Summary_report1.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visitablehousingcanada.com/wp-content/uploads/2014/10/Vancouver-VisitAble-Housing-Policy.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isitablehousingcanada.com/wp-content/uploads/2014/05/BC-Saanich-District-Mandatory-Building-Standard.pdf" TargetMode="External"/><Relationship Id="rId4" Type="http://schemas.openxmlformats.org/officeDocument/2006/relationships/webSettings" Target="webSettings.xml"/><Relationship Id="rId9" Type="http://schemas.openxmlformats.org/officeDocument/2006/relationships/hyperlink" Target="http://visitablehousingcanada.com/wp-content/uploads/2014/05/Vancouver-Housing-bylaw-report-to-Council-passed-2013-09-1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ypark@disabilitystudi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Youn-Young Park</dc:creator>
  <cp:lastModifiedBy>Ella</cp:lastModifiedBy>
  <cp:revision>2</cp:revision>
  <dcterms:created xsi:type="dcterms:W3CDTF">2015-01-21T18:17:00Z</dcterms:created>
  <dcterms:modified xsi:type="dcterms:W3CDTF">2015-01-21T18:17:00Z</dcterms:modified>
</cp:coreProperties>
</file>